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ACABD">
      <w:pPr>
        <w:jc w:val="center"/>
        <w:rPr>
          <w:rFonts w:ascii="Times New Roman" w:hAnsi="Times New Roman" w:eastAsia="Calibri" w:cs="Times New Roman"/>
          <w:sz w:val="28"/>
        </w:rPr>
      </w:pPr>
      <w:r>
        <w:rPr>
          <w:rFonts w:ascii="Times New Roman" w:hAnsi="Times New Roman" w:eastAsia="Calibri" w:cs="Times New Roman"/>
          <w:sz w:val="28"/>
        </w:rPr>
        <w:t>Государственное автономное профессиональное образовательное учреждение Новосибирской области</w:t>
      </w:r>
    </w:p>
    <w:p w14:paraId="1A16FD98">
      <w:pPr>
        <w:jc w:val="center"/>
        <w:rPr>
          <w:rFonts w:ascii="Times New Roman" w:hAnsi="Times New Roman" w:eastAsia="Calibri" w:cs="Times New Roman"/>
          <w:sz w:val="28"/>
        </w:rPr>
      </w:pPr>
      <w:r>
        <w:rPr>
          <w:rFonts w:ascii="Times New Roman" w:hAnsi="Times New Roman" w:eastAsia="Calibri" w:cs="Times New Roman"/>
          <w:sz w:val="28"/>
        </w:rPr>
        <w:t>«Куйбышевский педагогический колледж»</w:t>
      </w:r>
    </w:p>
    <w:p w14:paraId="4A56A80D">
      <w:pPr>
        <w:rPr>
          <w:rFonts w:ascii="Times New Roman" w:hAnsi="Times New Roman" w:eastAsia="Calibri" w:cs="Times New Roman"/>
          <w:sz w:val="28"/>
        </w:rPr>
      </w:pPr>
    </w:p>
    <w:p w14:paraId="180700BD">
      <w:pPr>
        <w:rPr>
          <w:rFonts w:ascii="Times New Roman" w:hAnsi="Times New Roman" w:eastAsia="Calibri" w:cs="Times New Roman"/>
          <w:sz w:val="28"/>
        </w:rPr>
      </w:pPr>
    </w:p>
    <w:p w14:paraId="64F771A2">
      <w:pPr>
        <w:rPr>
          <w:rFonts w:ascii="Times New Roman" w:hAnsi="Times New Roman" w:eastAsia="Calibri" w:cs="Times New Roman"/>
          <w:sz w:val="28"/>
        </w:rPr>
      </w:pPr>
    </w:p>
    <w:p w14:paraId="023A5DD3">
      <w:pPr>
        <w:rPr>
          <w:rFonts w:ascii="Times New Roman" w:hAnsi="Times New Roman" w:eastAsia="Calibri" w:cs="Times New Roman"/>
          <w:sz w:val="28"/>
        </w:rPr>
      </w:pPr>
    </w:p>
    <w:p w14:paraId="4DA76F42">
      <w:pPr>
        <w:jc w:val="center"/>
        <w:rPr>
          <w:rFonts w:hint="default" w:ascii="Times New Roman" w:hAnsi="Times New Roman" w:eastAsia="Calibri" w:cs="Times New Roman"/>
          <w:sz w:val="28"/>
          <w:lang w:val="ru-RU"/>
        </w:rPr>
      </w:pPr>
      <w:r>
        <w:rPr>
          <w:rFonts w:ascii="Times New Roman" w:hAnsi="Times New Roman" w:eastAsia="Calibri" w:cs="Times New Roman"/>
          <w:sz w:val="28"/>
        </w:rPr>
        <w:t>Конспект непосредственно образовательной деятельности по формированию</w:t>
      </w:r>
      <w:r>
        <w:rPr>
          <w:rFonts w:hint="default" w:ascii="Times New Roman" w:hAnsi="Times New Roman" w:eastAsia="Calibri" w:cs="Times New Roman"/>
          <w:sz w:val="28"/>
          <w:lang w:val="ru-RU"/>
        </w:rPr>
        <w:t xml:space="preserve"> математических представлений</w:t>
      </w:r>
    </w:p>
    <w:p w14:paraId="0B417560">
      <w:pPr>
        <w:rPr>
          <w:rFonts w:ascii="Times New Roman" w:hAnsi="Times New Roman" w:eastAsia="Calibri" w:cs="Times New Roman"/>
          <w:sz w:val="28"/>
        </w:rPr>
      </w:pPr>
    </w:p>
    <w:p w14:paraId="2C199F2A">
      <w:pPr>
        <w:rPr>
          <w:rFonts w:ascii="Times New Roman" w:hAnsi="Times New Roman" w:eastAsia="Calibri" w:cs="Times New Roman"/>
          <w:sz w:val="28"/>
        </w:rPr>
      </w:pPr>
    </w:p>
    <w:p w14:paraId="2DEE48C2">
      <w:pPr>
        <w:rPr>
          <w:rFonts w:ascii="Times New Roman" w:hAnsi="Times New Roman" w:eastAsia="Calibri" w:cs="Times New Roman"/>
          <w:sz w:val="28"/>
        </w:rPr>
      </w:pPr>
    </w:p>
    <w:p w14:paraId="2A508F14">
      <w:pPr>
        <w:rPr>
          <w:rFonts w:ascii="Times New Roman" w:hAnsi="Times New Roman" w:eastAsia="Calibri" w:cs="Times New Roman"/>
          <w:sz w:val="28"/>
        </w:rPr>
      </w:pPr>
    </w:p>
    <w:p w14:paraId="1B747718">
      <w:pPr>
        <w:wordWrap w:val="0"/>
        <w:jc w:val="right"/>
        <w:rPr>
          <w:rFonts w:hint="default" w:ascii="Times New Roman" w:hAnsi="Times New Roman" w:eastAsia="Calibri" w:cs="Times New Roman"/>
          <w:sz w:val="28"/>
          <w:lang w:val="ru-RU"/>
        </w:rPr>
      </w:pPr>
      <w:r>
        <w:rPr>
          <w:rFonts w:ascii="Times New Roman" w:hAnsi="Times New Roman" w:eastAsia="Calibri" w:cs="Times New Roman"/>
          <w:sz w:val="28"/>
        </w:rPr>
        <w:t xml:space="preserve">Выполнила:  </w:t>
      </w:r>
      <w:r>
        <w:rPr>
          <w:rFonts w:ascii="Times New Roman" w:hAnsi="Times New Roman" w:eastAsia="Calibri" w:cs="Times New Roman"/>
          <w:sz w:val="28"/>
          <w:lang w:val="ru-RU"/>
        </w:rPr>
        <w:t>Голикова</w:t>
      </w:r>
      <w:r>
        <w:rPr>
          <w:rFonts w:hint="default" w:ascii="Times New Roman" w:hAnsi="Times New Roman" w:eastAsia="Calibri" w:cs="Times New Roman"/>
          <w:sz w:val="28"/>
          <w:lang w:val="ru-RU"/>
        </w:rPr>
        <w:t xml:space="preserve"> Т.Г</w:t>
      </w:r>
    </w:p>
    <w:p w14:paraId="3CE1C5CE">
      <w:pPr>
        <w:wordWrap w:val="0"/>
        <w:jc w:val="right"/>
        <w:rPr>
          <w:rFonts w:hint="default" w:ascii="Times New Roman" w:hAnsi="Times New Roman" w:eastAsia="Calibri" w:cs="Times New Roman"/>
          <w:sz w:val="28"/>
          <w:lang w:val="ru-RU"/>
        </w:rPr>
      </w:pPr>
      <w:r>
        <w:rPr>
          <w:rFonts w:ascii="Times New Roman" w:hAnsi="Times New Roman" w:eastAsia="Calibri" w:cs="Times New Roman"/>
          <w:sz w:val="28"/>
        </w:rPr>
        <w:t xml:space="preserve">                                                                                                                 Воспитатель: </w:t>
      </w:r>
      <w:r>
        <w:rPr>
          <w:rFonts w:ascii="Times New Roman" w:hAnsi="Times New Roman" w:eastAsia="Calibri" w:cs="Times New Roman"/>
          <w:sz w:val="28"/>
          <w:lang w:val="ru-RU"/>
        </w:rPr>
        <w:t>Грязнова</w:t>
      </w:r>
      <w:r>
        <w:rPr>
          <w:rFonts w:hint="default" w:ascii="Times New Roman" w:hAnsi="Times New Roman" w:eastAsia="Calibri" w:cs="Times New Roman"/>
          <w:sz w:val="28"/>
          <w:lang w:val="ru-RU"/>
        </w:rPr>
        <w:t xml:space="preserve"> Л.В.</w:t>
      </w:r>
    </w:p>
    <w:p w14:paraId="48CD8DFD">
      <w:pPr>
        <w:jc w:val="right"/>
        <w:rPr>
          <w:rFonts w:ascii="Times New Roman" w:hAnsi="Times New Roman" w:eastAsia="Calibri" w:cs="Times New Roman"/>
          <w:sz w:val="28"/>
        </w:rPr>
      </w:pPr>
      <w:r>
        <w:rPr>
          <w:rFonts w:ascii="Times New Roman" w:hAnsi="Times New Roman" w:eastAsia="Calibri" w:cs="Times New Roman"/>
          <w:sz w:val="28"/>
        </w:rPr>
        <w:t xml:space="preserve">  </w:t>
      </w:r>
    </w:p>
    <w:p w14:paraId="2E9EE8E9">
      <w:pPr>
        <w:jc w:val="right"/>
        <w:rPr>
          <w:rFonts w:ascii="Times New Roman" w:hAnsi="Times New Roman" w:eastAsia="Calibri" w:cs="Times New Roman"/>
          <w:sz w:val="28"/>
        </w:rPr>
      </w:pPr>
      <w:r>
        <w:rPr>
          <w:rFonts w:ascii="Times New Roman" w:hAnsi="Times New Roman" w:eastAsia="Calibri" w:cs="Times New Roman"/>
          <w:sz w:val="28"/>
        </w:rPr>
        <w:t>Оценка: _________</w:t>
      </w:r>
    </w:p>
    <w:p w14:paraId="0E80ADE2">
      <w:pPr>
        <w:rPr>
          <w:rFonts w:ascii="Times New Roman" w:hAnsi="Times New Roman" w:eastAsia="Calibri" w:cs="Times New Roman"/>
          <w:sz w:val="28"/>
        </w:rPr>
      </w:pPr>
    </w:p>
    <w:p w14:paraId="2D2E6ED8">
      <w:pPr>
        <w:rPr>
          <w:rFonts w:ascii="Times New Roman" w:hAnsi="Times New Roman" w:eastAsia="Calibri" w:cs="Times New Roman"/>
          <w:sz w:val="28"/>
        </w:rPr>
      </w:pPr>
    </w:p>
    <w:p w14:paraId="1D1C471C">
      <w:pPr>
        <w:rPr>
          <w:rFonts w:ascii="Times New Roman" w:hAnsi="Times New Roman" w:eastAsia="Calibri" w:cs="Times New Roman"/>
          <w:sz w:val="28"/>
        </w:rPr>
      </w:pPr>
    </w:p>
    <w:p w14:paraId="2CA2CC1D">
      <w:pPr>
        <w:jc w:val="center"/>
        <w:rPr>
          <w:rFonts w:ascii="Times New Roman" w:hAnsi="Times New Roman" w:eastAsia="Calibri" w:cs="Times New Roman"/>
          <w:sz w:val="28"/>
        </w:rPr>
      </w:pPr>
      <w:r>
        <w:rPr>
          <w:rFonts w:ascii="Times New Roman" w:hAnsi="Times New Roman" w:eastAsia="Calibri" w:cs="Times New Roman"/>
          <w:sz w:val="28"/>
        </w:rPr>
        <w:t>Куйбышев, 202</w:t>
      </w:r>
      <w:r>
        <w:rPr>
          <w:rFonts w:hint="default" w:ascii="Times New Roman" w:hAnsi="Times New Roman" w:eastAsia="Calibri" w:cs="Times New Roman"/>
          <w:sz w:val="28"/>
          <w:lang w:val="ru-RU"/>
        </w:rPr>
        <w:t>6</w:t>
      </w:r>
      <w:r>
        <w:rPr>
          <w:rFonts w:ascii="Times New Roman" w:hAnsi="Times New Roman" w:eastAsia="Calibri" w:cs="Times New Roman"/>
          <w:sz w:val="28"/>
        </w:rPr>
        <w:t xml:space="preserve"> г.</w:t>
      </w:r>
    </w:p>
    <w:p w14:paraId="165065EF">
      <w:pPr>
        <w:jc w:val="center"/>
        <w:rPr>
          <w:rFonts w:ascii="Times New Roman" w:hAnsi="Times New Roman" w:eastAsia="Calibri" w:cs="Times New Roman"/>
          <w:sz w:val="28"/>
        </w:rPr>
      </w:pPr>
    </w:p>
    <w:p w14:paraId="303CDB73">
      <w:pPr>
        <w:jc w:val="center"/>
        <w:rPr>
          <w:rFonts w:ascii="Times New Roman" w:hAnsi="Times New Roman" w:eastAsia="Calibri" w:cs="Times New Roman"/>
          <w:sz w:val="28"/>
        </w:rPr>
      </w:pPr>
    </w:p>
    <w:p w14:paraId="41EDDE3E">
      <w:pPr>
        <w:jc w:val="center"/>
        <w:rPr>
          <w:rFonts w:ascii="Times New Roman" w:hAnsi="Times New Roman" w:eastAsia="Calibri" w:cs="Times New Roman"/>
          <w:sz w:val="28"/>
        </w:rPr>
      </w:pPr>
    </w:p>
    <w:p w14:paraId="5B7224D5">
      <w:pPr>
        <w:jc w:val="center"/>
        <w:rPr>
          <w:rFonts w:ascii="Times New Roman" w:hAnsi="Times New Roman" w:eastAsia="Calibri" w:cs="Times New Roman"/>
          <w:sz w:val="28"/>
        </w:rPr>
      </w:pPr>
    </w:p>
    <w:p w14:paraId="117BF7D1">
      <w:pPr>
        <w:jc w:val="center"/>
        <w:rPr>
          <w:rFonts w:ascii="Times New Roman" w:hAnsi="Times New Roman" w:eastAsia="Calibri" w:cs="Times New Roman"/>
          <w:sz w:val="28"/>
        </w:rPr>
      </w:pPr>
    </w:p>
    <w:p w14:paraId="3B4F9FF9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Технологическая карта занятия</w:t>
      </w:r>
    </w:p>
    <w:p w14:paraId="45009B75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sz w:val="28"/>
          <w:szCs w:val="28"/>
        </w:rPr>
        <w:t>Тема:</w:t>
      </w:r>
      <w:r>
        <w:rPr>
          <w:rFonts w:hint="default" w:ascii="Times New Roman" w:hAnsi="Times New Roman" w:cs="Times New Roman"/>
          <w:sz w:val="28"/>
          <w:szCs w:val="28"/>
        </w:rPr>
        <w:t xml:space="preserve"> Решение арифметических задач для детей 6–7 лет с использованием моделирования.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Style w:val="5"/>
          <w:rFonts w:hint="default" w:ascii="Times New Roman" w:hAnsi="Times New Roman" w:cs="Times New Roman"/>
          <w:sz w:val="28"/>
          <w:szCs w:val="28"/>
        </w:rPr>
        <w:t>Возраст:</w:t>
      </w:r>
      <w:r>
        <w:rPr>
          <w:rFonts w:hint="default" w:ascii="Times New Roman" w:hAnsi="Times New Roman" w:cs="Times New Roman"/>
          <w:sz w:val="28"/>
          <w:szCs w:val="28"/>
        </w:rPr>
        <w:t xml:space="preserve"> 6–7 лет.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Style w:val="5"/>
          <w:rFonts w:hint="default" w:ascii="Times New Roman" w:hAnsi="Times New Roman" w:cs="Times New Roman"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сформировать умение решать простые арифметические задачи на сложение и вычитание с помощью предметного и схематического моделирования.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Style w:val="5"/>
          <w:rFonts w:hint="default" w:ascii="Times New Roman" w:hAnsi="Times New Roman" w:cs="Times New Roman"/>
          <w:sz w:val="28"/>
          <w:szCs w:val="28"/>
        </w:rPr>
        <w:t>Задачи:</w:t>
      </w:r>
    </w:p>
    <w:p w14:paraId="2F91BAE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sz w:val="28"/>
          <w:szCs w:val="28"/>
        </w:rPr>
        <w:t>Образовательные:</w:t>
      </w:r>
      <w:r>
        <w:rPr>
          <w:rFonts w:hint="default" w:ascii="Times New Roman" w:hAnsi="Times New Roman" w:cs="Times New Roman"/>
          <w:sz w:val="28"/>
          <w:szCs w:val="28"/>
        </w:rPr>
        <w:t xml:space="preserve"> познакомить со структурой арифметической задачи (условие, вопрос, решение, ответ); научить выбирать действие (сложение/вычитание) по смыслу; закрепить запись решения цифрами и знаками.</w:t>
      </w:r>
    </w:p>
    <w:p w14:paraId="7AAE610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sz w:val="28"/>
          <w:szCs w:val="28"/>
        </w:rPr>
        <w:t>Развивающие:</w:t>
      </w:r>
      <w:r>
        <w:rPr>
          <w:rFonts w:hint="default" w:ascii="Times New Roman" w:hAnsi="Times New Roman" w:cs="Times New Roman"/>
          <w:sz w:val="28"/>
          <w:szCs w:val="28"/>
        </w:rPr>
        <w:t xml:space="preserve"> развивать наглядно-образное и логическое мышление через построение моделей; формировать умение объяснять ход решения.</w:t>
      </w:r>
    </w:p>
    <w:p w14:paraId="4D381EE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sz w:val="28"/>
          <w:szCs w:val="28"/>
        </w:rPr>
        <w:t>Воспитательные:</w:t>
      </w:r>
      <w:r>
        <w:rPr>
          <w:rFonts w:hint="default" w:ascii="Times New Roman" w:hAnsi="Times New Roman" w:cs="Times New Roman"/>
          <w:sz w:val="28"/>
          <w:szCs w:val="28"/>
        </w:rPr>
        <w:t xml:space="preserve"> воспитывать интерес к математике, аккуратность при выкладывании моделей, умение работать в паре и слушать друг друга.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Style w:val="5"/>
          <w:rFonts w:hint="default" w:ascii="Times New Roman" w:hAnsi="Times New Roman" w:cs="Times New Roman"/>
          <w:sz w:val="28"/>
          <w:szCs w:val="28"/>
        </w:rPr>
        <w:t>Планируемые результаты:</w:t>
      </w:r>
      <w:r>
        <w:rPr>
          <w:rFonts w:hint="default" w:ascii="Times New Roman" w:hAnsi="Times New Roman" w:cs="Times New Roman"/>
          <w:sz w:val="28"/>
          <w:szCs w:val="28"/>
        </w:rPr>
        <w:t xml:space="preserve"> ребёнок выделяет условие и вопрос задачи, строит модель (предметную или схематическую), выбирает действие, записывает решение и формулирует полный ответ.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Style w:val="5"/>
          <w:rFonts w:hint="default" w:ascii="Times New Roman" w:hAnsi="Times New Roman" w:cs="Times New Roman"/>
          <w:sz w:val="28"/>
          <w:szCs w:val="28"/>
        </w:rPr>
        <w:t>Методы и приёмы:</w:t>
      </w:r>
      <w:r>
        <w:rPr>
          <w:rFonts w:hint="default" w:ascii="Times New Roman" w:hAnsi="Times New Roman" w:cs="Times New Roman"/>
          <w:sz w:val="28"/>
          <w:szCs w:val="28"/>
        </w:rPr>
        <w:t xml:space="preserve"> наглядный (модели, карточки), практический (выкладывание моделей), словесный (беседа, объяснение), игровой (сюжетные ситуации).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Style w:val="5"/>
          <w:rFonts w:hint="default" w:ascii="Times New Roman" w:hAnsi="Times New Roman" w:cs="Times New Roman"/>
          <w:sz w:val="28"/>
          <w:szCs w:val="28"/>
        </w:rPr>
        <w:t>Материалы и оборудование:</w:t>
      </w:r>
      <w:r>
        <w:rPr>
          <w:rFonts w:hint="default" w:ascii="Times New Roman" w:hAnsi="Times New Roman" w:cs="Times New Roman"/>
          <w:sz w:val="28"/>
          <w:szCs w:val="28"/>
        </w:rPr>
        <w:t xml:space="preserve"> счётные палочки, геометрические фигуры (круги/квадраты), карточки с цифрами 0–10 и знаками «+», «−», «=», листы бумаги, простые карандаши, сюжетные картинки (например, «птички на ветке», «яблоки в корзине»), фишки-заместители (пуговицы, камешки).</w:t>
      </w:r>
    </w:p>
    <w:p w14:paraId="2E8853D9">
      <w:pPr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481976B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Ход занятия (по этапам)</w:t>
      </w:r>
    </w:p>
    <w:tbl>
      <w:tblPr>
        <w:tblStyle w:val="4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54"/>
        <w:gridCol w:w="883"/>
        <w:gridCol w:w="3350"/>
        <w:gridCol w:w="2602"/>
        <w:gridCol w:w="2324"/>
        <w:gridCol w:w="2235"/>
      </w:tblGrid>
      <w:tr w14:paraId="231E0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2D94F4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Этап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D9AF0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Время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42CA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Деятельность педагога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7C0A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Деятельность детей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14CA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Моделирование и приёмы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1D70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Результат этапа</w:t>
            </w:r>
          </w:p>
        </w:tc>
      </w:tr>
      <w:tr w14:paraId="76849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58B7C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1. Организационный момент. Мотивация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F594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3–4 мин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BADC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Педагог создаёт игровую ситуацию: «Сегодня мы — юные математики. Нам пришло письмо от Знайки: он просит помочь решить задачи для его друзей. Поможем?» Предлагает выбрать «инструменты» (палочки, фишки, цифры).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DAB1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Дети приветствуют педагога, включаются в сюжет, выбирают материалы для работы.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E45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Игровая мотивация, выбор средств моделирования.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65D1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Эмоциональный настрой, готовность к работе.</w:t>
            </w:r>
          </w:p>
        </w:tc>
      </w:tr>
      <w:tr w14:paraId="49BD7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232C50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2. Актуализация знаний. Структура задачи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D9E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5 мин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3ABB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Показывает простую задачу на картинке: «На ветке сидели 3 птички. Прилетели ещё 2. Сколько птичек стало на ветке?» Задаёт вопросы: «Что мы знаем? Что нужно узнать? Как можно показать это с помощью фишек?»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82E7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Отвечают на вопросы, выделяют условие и вопрос. Пробуют выложить модель: 3 фишки + 2 фишки.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960D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Предметная модель из фишек/палочек.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F2C0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Понимают, что задача состоит из условия и вопроса.</w:t>
            </w:r>
          </w:p>
        </w:tc>
      </w:tr>
      <w:tr w14:paraId="0025D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E1191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3. Знакомство с моделированием. Практическое решение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7AE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10 мин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C05A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Предлагает решить задачу: «У Маши было 5 конфет. Она дала 2 конфеты другу. Сколько конфет у неё осталось?» Показывает два способа моделирования: 1) выложить 5 фишек, убрать 2; 2) нарисовать схему: 5 кружков, зачеркнуть 2. Помогает записать решение цифрами: 5 − 2 = 3.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CD77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Работают в парах: один выкладывает модель, второй записывает решение. Проговаривают: «Было 5, убрали 2, осталось 3».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0198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Предметная модель (фишки), схематическая модель (рисунок), запись решения.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03B6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Умеют решать задачу на вычитание через моделирование.</w:t>
            </w:r>
          </w:p>
        </w:tc>
      </w:tr>
      <w:tr w14:paraId="6E497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5BA5D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4. Самостоятельная работа в парах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CBAA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8–10 мин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9771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Раздаёт карточки с задачами (на сложение и вычитание). Даёт инструкцию: «Прочитайте задачу, выложите модель, запишите решение, скажите полный ответ». Контролирует, помогает при затруднениях.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F264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Самостоятельно решают 1–2 задачи, обсуждают в паре, выкладывают модели, записывают решения.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D5E8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Работа в парах, самостоятельное моделирование.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86FA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Применяют моделирование для решения задач.</w:t>
            </w:r>
          </w:p>
        </w:tc>
      </w:tr>
      <w:tr w14:paraId="2E113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CEFEE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5. Физкультминутка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0D77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2–3 мин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FCB2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Проводит короткую двигательную паузу: «Сколько раз поднимем руки? Столько раз хлопнем мы!» (называет число, дети выполняют).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14CF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Выполняют движения по заданию.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A470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Двигательная пауза.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C1DB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Снятие напряжения, восстановление внимания.</w:t>
            </w:r>
          </w:p>
        </w:tc>
      </w:tr>
      <w:tr w14:paraId="79373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FC79E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6. Переход к схематическим моделям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2533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7–8 мин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3048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Предлагает задачу без предметов: «В автобусе ехали 4 пассажира. На остановке вошли ещё 3. Сколько пассажиров стало?» Просит нарисовать схему: «Сначала было 4 — нарисуем 4 кружка. Потом вошли 3 — добавим 3 кружка». Помогает записать решение: 4 + 3 = 7.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C01B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Рисуют схему на листе, считают общее количество, записывают решение.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B620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Схематическая модель (кружки), запись действия.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51F3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Понимают связь между схемой и арифметическим действием.</w:t>
            </w:r>
          </w:p>
        </w:tc>
      </w:tr>
      <w:tr w14:paraId="2696B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4843E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7. Рефлексия и подведение итогов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A0C7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4–5 мин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DC01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«Что помогло нам решать задачи? Какие модели мы использовали? Что было трудным?» Раздаёт «медальки» за старание. Предлагает дома придумать свою задачу и нарисовать к ней модель.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991C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Делятся впечатлениями, называют способы моделирования, получают поощрение.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59A5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t>Беседа, самооценка.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3AA2C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58C16951"/>
    <w:p w14:paraId="3D01FA58"/>
    <w:p w14:paraId="30230576"/>
    <w:p w14:paraId="4EFC2420"/>
    <w:p w14:paraId="59361CA1">
      <w:bookmarkStart w:id="0" w:name="_GoBack"/>
      <w:bookmarkEnd w:id="0"/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5F866B"/>
    <w:multiLevelType w:val="multilevel"/>
    <w:tmpl w:val="8C5F866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81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2026-10-31T09:36:50Z</dcterms:created>
  <dc:creator>LENOVO</dc:creator>
  <cp:lastModifiedBy>LENOVO</cp:lastModifiedBy>
  <dcterms:modified xsi:type="dcterms:W3CDTF">2026-10-31T09:37:34Z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eyJoZGlkIjoiYzg3MDRjMjk0MmVlNDAyZTFmNmVkZjMzNDM1OGMwMWEifQ==</vt:lpwstr>
  </property>
  <property fmtid="{D5CDD505-2E9C-101B-9397-08002B2CF9AE}" pid="4" name="ICV">
    <vt:lpwstr>E4FFBFCB667844819CE53E85220B4A13_12</vt:lpwstr>
  </property>
</Properties>
</file>