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32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32"/>
          <w:szCs w:val="28"/>
        </w:rPr>
      </w:pPr>
      <w:r>
        <w:rPr>
          <w:rFonts w:ascii="Times New Roman" w:cs="Times New Roman" w:hAnsi="Times New Roman"/>
          <w:b/>
          <w:i/>
          <w:sz w:val="32"/>
          <w:szCs w:val="28"/>
        </w:rPr>
        <w:t>К</w:t>
      </w:r>
      <w:r>
        <w:rPr>
          <w:rFonts w:ascii="Times New Roman" w:cs="Times New Roman" w:hAnsi="Times New Roman"/>
          <w:b/>
          <w:i/>
          <w:sz w:val="32"/>
          <w:szCs w:val="28"/>
        </w:rPr>
        <w:t>онсультация для родителей</w:t>
      </w: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32"/>
          <w:szCs w:val="28"/>
        </w:rPr>
      </w:pPr>
      <w:r>
        <w:rPr>
          <w:rFonts w:ascii="Times New Roman" w:cs="Times New Roman" w:hAnsi="Times New Roman"/>
          <w:b/>
          <w:i/>
          <w:sz w:val="32"/>
          <w:szCs w:val="28"/>
        </w:rPr>
        <w:t>«Играем пальчиками и развиваем речь»</w:t>
      </w: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Выполнила:воспитатель высшей квалификационной категории</w:t>
      </w: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Фомкина Айман Исатаевна</w:t>
      </w: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br w:type="page"/>
      </w: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                          Консультация для родителей на тему: </w:t>
      </w: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«</w:t>
      </w:r>
      <w:r>
        <w:rPr>
          <w:rFonts w:ascii="Times New Roman" w:cs="Times New Roman" w:hAnsi="Times New Roman"/>
          <w:b/>
          <w:sz w:val="28"/>
          <w:szCs w:val="28"/>
        </w:rPr>
        <w:t>Играем пальчиками и развиваем речь</w:t>
      </w:r>
      <w:r>
        <w:rPr>
          <w:rFonts w:ascii="Times New Roman" w:cs="Times New Roman" w:hAnsi="Times New Roman"/>
          <w:b/>
          <w:sz w:val="28"/>
          <w:szCs w:val="28"/>
        </w:rPr>
        <w:t>»</w:t>
      </w: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851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  <w:u w:val="single"/>
        </w:rPr>
        <w:t>Цель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>п</w:t>
      </w:r>
      <w:r>
        <w:rPr>
          <w:rFonts w:ascii="Times New Roman" w:cs="Times New Roman" w:hAnsi="Times New Roman"/>
          <w:sz w:val="28"/>
          <w:szCs w:val="28"/>
        </w:rPr>
        <w:t>овысить уровень осведомленности роди</w:t>
      </w:r>
      <w:r>
        <w:rPr>
          <w:rFonts w:ascii="Times New Roman" w:cs="Times New Roman" w:hAnsi="Times New Roman"/>
          <w:sz w:val="28"/>
          <w:szCs w:val="28"/>
        </w:rPr>
        <w:t>телей по использованию разных приемов и способов развития мелкой моторики рук у детей дошкольного возраста.</w:t>
      </w: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i/>
          <w:sz w:val="28"/>
          <w:szCs w:val="28"/>
          <w:u w:val="single"/>
        </w:rPr>
      </w:pPr>
      <w:r>
        <w:rPr>
          <w:rFonts w:ascii="Times New Roman" w:cs="Times New Roman" w:hAnsi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cs="Times New Roman" w:hAnsi="Times New Roman"/>
          <w:i/>
          <w:sz w:val="28"/>
          <w:szCs w:val="28"/>
          <w:u w:val="single"/>
        </w:rPr>
        <w:t>консультации</w:t>
      </w: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i/>
          <w:sz w:val="28"/>
          <w:szCs w:val="28"/>
          <w:u w:val="single"/>
        </w:rPr>
      </w:pPr>
    </w:p>
    <w:p>
      <w:pPr>
        <w:pStyle w:val="ListParagraph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Вводная беседа.</w:t>
      </w:r>
    </w:p>
    <w:p>
      <w:pPr>
        <w:spacing w:after="0" w:line="240" w:lineRule="auto"/>
        <w:ind w:firstLine="851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Движения пальцев и кистей рук ребенка имеет особое развивающее воздействие. У новорожденного кисти всегда сжаты в кулачки, </w:t>
      </w:r>
      <w:r>
        <w:rPr>
          <w:rFonts w:ascii="Times New Roman" w:cs="Times New Roman" w:hAnsi="Times New Roman"/>
          <w:sz w:val="28"/>
          <w:szCs w:val="28"/>
        </w:rPr>
        <w:t>и,</w:t>
      </w:r>
      <w:r>
        <w:rPr>
          <w:rFonts w:ascii="Times New Roman" w:cs="Times New Roman" w:hAnsi="Times New Roman"/>
          <w:sz w:val="28"/>
          <w:szCs w:val="28"/>
        </w:rPr>
        <w:t xml:space="preserve">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>
      <w:pPr>
        <w:spacing w:after="0" w:line="240" w:lineRule="auto"/>
        <w:ind w:firstLine="851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</w:t>
      </w:r>
      <w:r>
        <w:rPr>
          <w:rFonts w:ascii="Times New Roman" w:cs="Times New Roman" w:hAnsi="Times New Roman"/>
          <w:sz w:val="28"/>
          <w:szCs w:val="28"/>
        </w:rPr>
        <w:t>оздоравливающе</w:t>
      </w:r>
      <w:r>
        <w:rPr>
          <w:rFonts w:ascii="Times New Roman" w:cs="Times New Roman" w:hAnsi="Times New Roman"/>
          <w:sz w:val="28"/>
          <w:szCs w:val="28"/>
        </w:rP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>
      <w:pPr>
        <w:spacing w:after="0" w:line="240" w:lineRule="auto"/>
        <w:ind w:firstLine="851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Значение пальчиковых игр в развитии ребенка.</w:t>
      </w:r>
    </w:p>
    <w:p>
      <w:pPr>
        <w:spacing w:after="0" w:line="240" w:lineRule="auto"/>
        <w:ind w:firstLine="851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Выполнение упражнений и ритмических движений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>
      <w:pPr>
        <w:spacing w:after="0" w:line="240" w:lineRule="auto"/>
        <w:ind w:firstLine="851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Так же и</w:t>
      </w:r>
      <w:r>
        <w:rPr>
          <w:rFonts w:ascii="Times New Roman" w:cs="Times New Roman" w:hAnsi="Times New Roman"/>
          <w:sz w:val="28"/>
          <w:szCs w:val="28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>
      <w:pPr>
        <w:spacing w:after="0" w:line="240" w:lineRule="auto"/>
        <w:ind w:firstLine="851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Если ребёнок будет выполнять </w:t>
      </w:r>
      <w:r>
        <w:rPr>
          <w:rFonts w:ascii="Times New Roman" w:cs="Times New Roman" w:hAnsi="Times New Roman"/>
          <w:sz w:val="28"/>
          <w:szCs w:val="28"/>
        </w:rPr>
        <w:t xml:space="preserve">упражнения, </w:t>
      </w:r>
      <w:r>
        <w:rPr>
          <w:rFonts w:ascii="Times New Roman" w:cs="Times New Roman" w:hAnsi="Times New Roman"/>
          <w:sz w:val="28"/>
          <w:szCs w:val="28"/>
        </w:rPr>
        <w:t>сопровождая их короткими</w:t>
      </w:r>
      <w:r>
        <w:rPr>
          <w:rFonts w:ascii="Times New Roman" w:cs="Times New Roman" w:hAnsi="Times New Roman"/>
          <w:sz w:val="28"/>
          <w:szCs w:val="28"/>
        </w:rPr>
        <w:t xml:space="preserve"> стихотворными строчками, то его речь станет более чёткой, ритмичной, яркой, и усилится контроль за выполняемыми движениями.</w:t>
      </w:r>
    </w:p>
    <w:p>
      <w:pPr>
        <w:spacing w:after="0" w:line="240" w:lineRule="auto"/>
        <w:ind w:firstLine="851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Развивается память ребёнка, так как он учится запоминать определённые положения рук и последовательность движений.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 малыша развивается воображение и фантазия. Овладев всеми упражнениями, он сможет «рас</w:t>
      </w:r>
      <w:r>
        <w:rPr>
          <w:rFonts w:ascii="Times New Roman" w:cs="Times New Roman" w:hAnsi="Times New Roman"/>
          <w:sz w:val="28"/>
          <w:szCs w:val="28"/>
        </w:rPr>
        <w:t xml:space="preserve">сказывать руками» целые истории. </w:t>
      </w:r>
      <w:r>
        <w:rPr>
          <w:rFonts w:ascii="Times New Roman" w:cs="Times New Roman" w:hAnsi="Times New Roman"/>
          <w:sz w:val="28"/>
          <w:szCs w:val="28"/>
        </w:rPr>
        <w:t>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>
      <w:pPr>
        <w:spacing w:after="0" w:line="240" w:lineRule="auto"/>
        <w:ind w:firstLine="851"/>
        <w:contextualSpacing w:val="on"/>
        <w:jc w:val="both"/>
        <w:rPr>
          <w:rStyle w:val="C0"/>
          <w:rFonts w:ascii="Times New Roman" w:cs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cs="Times New Roman" w:hAnsi="Times New Roman"/>
          <w:color w:val="000000"/>
          <w:sz w:val="28"/>
          <w:szCs w:val="28"/>
        </w:rPr>
        <w:t>Практ</w:t>
      </w:r>
      <w:r>
        <w:rPr>
          <w:rStyle w:val="C0"/>
          <w:rFonts w:ascii="Times New Roman" w:cs="Times New Roman" w:hAnsi="Times New Roman"/>
          <w:color w:val="000000"/>
          <w:sz w:val="28"/>
          <w:szCs w:val="28"/>
        </w:rPr>
        <w:t xml:space="preserve">ика работы с детьми показывает, что </w:t>
      </w:r>
      <w:r>
        <w:rPr>
          <w:rStyle w:val="C0"/>
          <w:rFonts w:ascii="Times New Roman" w:cs="Times New Roman" w:hAnsi="Times New Roman"/>
          <w:color w:val="000000"/>
          <w:sz w:val="28"/>
          <w:szCs w:val="28"/>
        </w:rPr>
        <w:t>чем раньше начинается работа по развитию мелкой моторики (с 3-4- месячного возраста), тем раньше формируется речь.</w:t>
      </w:r>
    </w:p>
    <w:p>
      <w:pPr>
        <w:spacing w:after="0" w:line="240" w:lineRule="auto"/>
        <w:ind w:firstLine="851"/>
        <w:contextualSpacing w:val="on"/>
        <w:jc w:val="both"/>
        <w:rPr>
          <w:rFonts w:ascii="Times New Roman" w:cs="Times New Roman" w:hAnsi="Times New Roman"/>
          <w:color w:val="000000"/>
        </w:rPr>
      </w:pPr>
      <w:r>
        <w:rPr>
          <w:rStyle w:val="C0"/>
          <w:rFonts w:ascii="Times New Roman" w:cs="Times New Roman" w:hAnsi="Times New Roman"/>
          <w:color w:val="000000"/>
          <w:sz w:val="28"/>
          <w:szCs w:val="28"/>
        </w:rPr>
        <w:t>В условиях детского сада мы много внимания уделяем тонким движениям руки. Упражнения проводятся в течение 1-3 мин. на фронтальных занятиях, в форме физ</w:t>
      </w:r>
      <w:r>
        <w:rPr>
          <w:rStyle w:val="C0"/>
          <w:rFonts w:ascii="Times New Roman" w:cs="Times New Roman" w:hAnsi="Times New Roman"/>
          <w:color w:val="000000"/>
          <w:sz w:val="28"/>
          <w:szCs w:val="28"/>
        </w:rPr>
        <w:t xml:space="preserve">минуток, а также во время игр и </w:t>
      </w:r>
      <w:r>
        <w:rPr>
          <w:rStyle w:val="C0"/>
          <w:rFonts w:ascii="Times New Roman" w:cs="Times New Roman" w:hAnsi="Times New Roman"/>
          <w:color w:val="000000"/>
          <w:sz w:val="28"/>
          <w:szCs w:val="28"/>
        </w:rPr>
        <w:t>в др</w:t>
      </w:r>
      <w:r>
        <w:rPr>
          <w:rStyle w:val="C0"/>
          <w:rFonts w:ascii="Times New Roman" w:cs="Times New Roman" w:hAnsi="Times New Roman"/>
          <w:color w:val="000000"/>
          <w:sz w:val="28"/>
          <w:szCs w:val="28"/>
        </w:rPr>
        <w:t>угие</w:t>
      </w:r>
      <w:r>
        <w:rPr>
          <w:rStyle w:val="C0"/>
          <w:rFonts w:ascii="Times New Roman" w:cs="Times New Roman" w:hAnsi="Times New Roman"/>
          <w:color w:val="000000"/>
          <w:sz w:val="28"/>
          <w:szCs w:val="28"/>
        </w:rPr>
        <w:t xml:space="preserve"> режимные моменты.</w:t>
      </w:r>
    </w:p>
    <w:p>
      <w:pPr>
        <w:pStyle w:val="C1"/>
        <w:shd w:val="clear" w:color="auto" w:fill="ffffff"/>
        <w:spacing w:before="0" w:after="0"/>
        <w:ind w:firstLine="851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дифференцированностью движений пальцев, их синхронностью или последовательностью.</w:t>
      </w:r>
    </w:p>
    <w:p>
      <w:pPr>
        <w:pStyle w:val="C1"/>
        <w:shd w:val="clear" w:color="auto" w:fill="ffffff"/>
        <w:spacing w:before="0" w:after="0"/>
        <w:ind w:firstLine="851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При затруднениях можно помогать </w:t>
      </w:r>
      <w:r>
        <w:rPr>
          <w:rStyle w:val="C0"/>
          <w:color w:val="000000"/>
          <w:sz w:val="28"/>
          <w:szCs w:val="28"/>
        </w:rPr>
        <w:t>ребёнку,</w:t>
      </w:r>
      <w:r>
        <w:rPr>
          <w:rStyle w:val="C0"/>
          <w:color w:val="000000"/>
          <w:sz w:val="28"/>
          <w:szCs w:val="28"/>
        </w:rPr>
        <w:t xml:space="preserve">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>
      <w:pPr>
        <w:pStyle w:val="C1"/>
        <w:shd w:val="clear" w:color="auto" w:fill="ffffff"/>
        <w:spacing w:before="0" w:after="0"/>
        <w:ind w:firstLine="851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>
      <w:pPr>
        <w:pStyle w:val="C1"/>
        <w:shd w:val="clear" w:color="auto" w:fill="ffffff"/>
        <w:spacing w:before="0" w:after="0"/>
        <w:ind w:firstLine="851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Дети, большие труженики, они с интересом включаются в любую работу, только надо быть терпимее. Никогда не следует </w:t>
      </w:r>
      <w:r>
        <w:rPr>
          <w:rStyle w:val="C0"/>
          <w:color w:val="000000"/>
          <w:sz w:val="28"/>
          <w:szCs w:val="28"/>
        </w:rPr>
        <w:t>принуждать ребёнка</w:t>
      </w:r>
      <w:r>
        <w:rPr>
          <w:rStyle w:val="C0"/>
          <w:color w:val="000000"/>
          <w:sz w:val="28"/>
          <w:szCs w:val="28"/>
        </w:rPr>
        <w:t xml:space="preserve"> играть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>
      <w:pPr>
        <w:spacing w:after="0" w:line="240" w:lineRule="auto"/>
        <w:ind w:firstLine="851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Примеры упражнений, мини-практикум с родителями.</w:t>
      </w:r>
    </w:p>
    <w:p>
      <w:pPr>
        <w:spacing w:after="0" w:line="240" w:lineRule="auto"/>
        <w:ind w:firstLine="851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Все упражнения можно разделить на три группы.</w:t>
      </w:r>
    </w:p>
    <w:p>
      <w:pPr>
        <w:spacing w:after="0" w:line="240" w:lineRule="auto"/>
        <w:ind w:firstLine="851"/>
        <w:contextualSpacing w:val="on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Упражнения для кистей рук:</w:t>
      </w:r>
    </w:p>
    <w:p>
      <w:pPr>
        <w:pStyle w:val="ListParagraph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развивают подражательную способность, достаточно простые и не требуют тонких дифференцированных движений;</w:t>
      </w:r>
    </w:p>
    <w:p>
      <w:pPr>
        <w:pStyle w:val="ListParagraph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учат напрягать и расслаблять мышцы;</w:t>
      </w:r>
    </w:p>
    <w:p>
      <w:pPr>
        <w:pStyle w:val="ListParagraph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развивают умение сохранять положение пальцев некоторое время;</w:t>
      </w:r>
    </w:p>
    <w:p>
      <w:pPr>
        <w:pStyle w:val="ListParagraph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учат переключаться с одного движения на другое.</w:t>
      </w:r>
    </w:p>
    <w:p>
      <w:pPr>
        <w:spacing w:after="0" w:line="240" w:lineRule="auto"/>
        <w:ind w:firstLine="851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«Солнце»</w:t>
      </w:r>
    </w:p>
    <w:tbl>
      <w:tblPr>
        <w:tblStyle w:val="TableGrid"/>
        <w:tblW w:w="0" w:type="auto"/>
        <w:jc w:val="center"/>
        <w:tblBorders>
          <w:top w:val="none" w:sz="4"/>
          <w:left w:val="none" w:sz="4"/>
          <w:bottom w:val="none" w:sz="4"/>
          <w:right w:val="none" w:sz="4"/>
          <w:insideH w:val="none" w:sz="4"/>
          <w:insideV w:val="none" w:sz="4"/>
        </w:tblBorders>
        <w:tblLook w:val="04A0"/>
      </w:tblPr>
      <w:tblGrid>
        <w:gridCol w:w="4813"/>
        <w:gridCol w:w="4814"/>
      </w:tblGrid>
      <w:tr>
        <w:trPr>
          <w:jc w:val="center"/>
        </w:trPr>
        <w:tc>
          <w:tcPr>
            <w:cnfStyle w:val="101000000000"/>
            <w:tcW w:w="4813" w:type="dxa"/>
          </w:tcPr>
          <w:p>
            <w:pPr>
              <w:contextualSpacing w:val="on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Солнце утром рано встало,</w:t>
            </w:r>
          </w:p>
        </w:tc>
        <w:tc>
          <w:tcPr>
            <w:cnfStyle w:val="100000000000"/>
            <w:tcW w:w="4814" w:type="dxa"/>
          </w:tcPr>
          <w:p>
            <w:pPr>
              <w:contextualSpacing w:val="on"/>
              <w:jc w:val="center"/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Ладошки скрестить,</w:t>
            </w:r>
          </w:p>
        </w:tc>
      </w:tr>
      <w:tr>
        <w:trPr>
          <w:jc w:val="center"/>
        </w:trPr>
        <w:tc>
          <w:tcPr>
            <w:cnfStyle w:val="001000100000"/>
            <w:tcW w:w="4813" w:type="dxa"/>
          </w:tcPr>
          <w:p>
            <w:pPr>
              <w:contextualSpacing w:val="on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cnfStyle w:val="000000100000"/>
            <w:tcW w:w="4814" w:type="dxa"/>
          </w:tcPr>
          <w:p>
            <w:pPr>
              <w:contextualSpacing w:val="on"/>
              <w:jc w:val="center"/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пальцы широко раздвинуть</w:t>
            </w:r>
          </w:p>
        </w:tc>
      </w:tr>
    </w:tbl>
    <w:p>
      <w:pPr>
        <w:spacing w:after="0" w:line="240" w:lineRule="auto"/>
        <w:ind w:firstLine="851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851"/>
        <w:contextualSpacing w:val="on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Упражнения для пальцев условно статические:</w:t>
      </w:r>
    </w:p>
    <w:p>
      <w:pPr>
        <w:pStyle w:val="ListParagraph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«Человечек»</w:t>
      </w:r>
    </w:p>
    <w:tbl>
      <w:tblPr>
        <w:tblStyle w:val="TableGrid"/>
        <w:tblW w:w="0" w:type="auto"/>
        <w:tblBorders>
          <w:top w:val="none" w:sz="4"/>
          <w:left w:val="none" w:sz="4"/>
          <w:bottom w:val="none" w:sz="4"/>
          <w:right w:val="none" w:sz="4"/>
          <w:insideH w:val="none" w:sz="4"/>
          <w:insideV w:val="none" w:sz="4"/>
        </w:tblBorders>
        <w:tblLook w:val="04A0"/>
      </w:tblPr>
      <w:tblGrid>
        <w:gridCol w:w="4813"/>
        <w:gridCol w:w="4814"/>
      </w:tblGrid>
      <w:tr>
        <w:trPr/>
        <w:tc>
          <w:tcPr>
            <w:cnfStyle w:val="101000000000"/>
            <w:tcW w:w="4813" w:type="dxa"/>
          </w:tcPr>
          <w:p>
            <w:pPr>
              <w:contextualSpacing w:val="on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«Топ-топ-топ!» — топают ножки,</w:t>
            </w:r>
          </w:p>
        </w:tc>
        <w:tc>
          <w:tcPr>
            <w:cnfStyle w:val="100000000000"/>
            <w:tcW w:w="4814" w:type="dxa"/>
            <w:vMerge w:val="restart"/>
          </w:tcPr>
          <w:p>
            <w:pPr>
              <w:contextualSpacing w:val="on"/>
              <w:jc w:val="center"/>
              <w:rPr>
                <w:rFonts w:ascii="Times New Roman" w:cs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Указательный и средний пальцы «ходят» по столу.</w:t>
            </w:r>
          </w:p>
        </w:tc>
      </w:tr>
      <w:tr>
        <w:trPr/>
        <w:tc>
          <w:tcPr>
            <w:cnfStyle w:val="001000100000"/>
            <w:tcW w:w="4813" w:type="dxa"/>
          </w:tcPr>
          <w:p>
            <w:pPr>
              <w:contextualSpacing w:val="on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Мальчик ходит по дорожке.</w:t>
            </w:r>
          </w:p>
        </w:tc>
        <w:tc>
          <w:tcPr>
            <w:cnfStyle w:val="000000100000"/>
            <w:tcW w:w="4814" w:type="dxa"/>
            <w:vMerge w:val="continue"/>
          </w:tcPr>
          <w:p>
            <w:pPr>
              <w:contextualSpacing w:val="on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</w:tbl>
    <w:p>
      <w:pPr>
        <w:spacing w:after="0" w:line="240" w:lineRule="auto"/>
        <w:ind w:firstLine="851"/>
        <w:contextualSpacing w:val="on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Упражнения для пальцев динамические:</w:t>
      </w:r>
    </w:p>
    <w:p>
      <w:pPr>
        <w:pStyle w:val="ListParagraph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развивают точную координацию движений;</w:t>
      </w:r>
    </w:p>
    <w:p>
      <w:pPr>
        <w:pStyle w:val="ListParagraph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учат сгибать и разгибать пальцы рук;</w:t>
      </w:r>
    </w:p>
    <w:p>
      <w:pPr>
        <w:pStyle w:val="ListParagraph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учат противопоставлять большой палец остальным.</w:t>
      </w:r>
    </w:p>
    <w:p>
      <w:pPr>
        <w:pStyle w:val="ListParagraph"/>
        <w:spacing w:after="0" w:line="240" w:lineRule="auto"/>
        <w:ind w:left="1134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«Посчитаем»</w:t>
      </w:r>
    </w:p>
    <w:tbl>
      <w:tblPr>
        <w:tblStyle w:val="TableGrid"/>
        <w:tblW w:w="0" w:type="auto"/>
        <w:tblBorders>
          <w:top w:val="none" w:sz="4"/>
          <w:left w:val="none" w:sz="4"/>
          <w:bottom w:val="none" w:sz="4"/>
          <w:right w:val="none" w:sz="4"/>
          <w:insideH w:val="none" w:sz="4"/>
          <w:insideV w:val="none" w:sz="4"/>
        </w:tblBorders>
        <w:tblLook w:val="04A0"/>
      </w:tblPr>
      <w:tblGrid>
        <w:gridCol w:w="4813"/>
        <w:gridCol w:w="4814"/>
      </w:tblGrid>
      <w:tr>
        <w:trPr/>
        <w:tc>
          <w:tcPr>
            <w:cnfStyle w:val="101000000000"/>
            <w:tcW w:w="4813" w:type="dxa"/>
          </w:tcPr>
          <w:p>
            <w:pPr>
              <w:contextualSpacing w:val="on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Раз-два-три-четыре-пять!</w:t>
            </w:r>
          </w:p>
          <w:p>
            <w:pPr>
              <w:contextualSpacing w:val="on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Будем пальчики считать –</w:t>
            </w:r>
          </w:p>
        </w:tc>
        <w:tc>
          <w:tcPr>
            <w:cnfStyle w:val="100000000000"/>
            <w:tcW w:w="4814" w:type="dxa"/>
          </w:tcPr>
          <w:p>
            <w:pPr>
              <w:contextualSpacing w:val="on"/>
              <w:jc w:val="center"/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Поочередно сгибать пальцы в кулачок, начиная с большого.</w:t>
            </w:r>
          </w:p>
        </w:tc>
      </w:tr>
      <w:tr>
        <w:trPr/>
        <w:tc>
          <w:tcPr>
            <w:cnfStyle w:val="001000100000"/>
            <w:tcW w:w="4813" w:type="dxa"/>
          </w:tcPr>
          <w:p>
            <w:pPr>
              <w:contextualSpacing w:val="on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Крепкие, дружные,</w:t>
            </w:r>
          </w:p>
          <w:p>
            <w:pPr>
              <w:contextualSpacing w:val="on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Все такие нужные…</w:t>
            </w:r>
          </w:p>
        </w:tc>
        <w:tc>
          <w:tcPr>
            <w:cnfStyle w:val="000000100000"/>
            <w:tcW w:w="4814" w:type="dxa"/>
          </w:tcPr>
          <w:p>
            <w:pPr>
              <w:contextualSpacing w:val="on"/>
              <w:jc w:val="center"/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Поднять кисть руки вверх, широко раздвинуть пальцы.</w:t>
            </w:r>
          </w:p>
        </w:tc>
      </w:tr>
    </w:tbl>
    <w:p>
      <w:pPr>
        <w:spacing w:after="0" w:line="240" w:lineRule="auto"/>
        <w:ind w:firstLine="851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«По кругу»</w:t>
      </w:r>
    </w:p>
    <w:tbl>
      <w:tblPr>
        <w:tblStyle w:val="TableGrid"/>
        <w:tblW w:w="0" w:type="auto"/>
        <w:tblBorders>
          <w:top w:val="none" w:sz="4"/>
          <w:left w:val="none" w:sz="4"/>
          <w:bottom w:val="none" w:sz="4"/>
          <w:right w:val="none" w:sz="4"/>
          <w:insideH w:val="none" w:sz="4"/>
          <w:insideV w:val="none" w:sz="4"/>
        </w:tblBorders>
        <w:tblLook w:val="04A0"/>
      </w:tblPr>
      <w:tblGrid>
        <w:gridCol w:w="4813"/>
        <w:gridCol w:w="4814"/>
      </w:tblGrid>
      <w:tr>
        <w:trPr/>
        <w:tc>
          <w:tcPr>
            <w:cnfStyle w:val="101000000000"/>
            <w:tcW w:w="4813" w:type="dxa"/>
          </w:tcPr>
          <w:p>
            <w:pPr>
              <w:contextualSpacing w:val="on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Покажи уменье другу,</w:t>
            </w:r>
          </w:p>
        </w:tc>
        <w:tc>
          <w:tcPr>
            <w:cnfStyle w:val="100000000000"/>
            <w:tcW w:w="4814" w:type="dxa"/>
            <w:vMerge w:val="restart"/>
          </w:tcPr>
          <w:p>
            <w:pPr>
              <w:contextualSpacing w:val="on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Пальцы сжать в кулак, большой палец поднять вверх и выполнять круговые движения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</w:tr>
      <w:tr>
        <w:trPr/>
        <w:tc>
          <w:tcPr>
            <w:cnfStyle w:val="001000100000"/>
            <w:tcW w:w="4813" w:type="dxa"/>
          </w:tcPr>
          <w:p>
            <w:pPr>
              <w:contextualSpacing w:val="on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Покружись-ка ты по кругу!</w:t>
            </w:r>
          </w:p>
        </w:tc>
        <w:tc>
          <w:tcPr>
            <w:cnfStyle w:val="000000100000"/>
            <w:tcW w:w="4814" w:type="dxa"/>
            <w:vMerge w:val="continue"/>
          </w:tcPr>
          <w:p>
            <w:pPr>
              <w:contextualSpacing w:val="on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ind w:firstLine="851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«Здравствуй пальчик, старший брат»</w:t>
      </w:r>
    </w:p>
    <w:p>
      <w:pPr>
        <w:spacing w:after="0" w:line="240" w:lineRule="auto"/>
        <w:ind w:firstLine="851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TableGrid"/>
        <w:tblW w:w="0" w:type="auto"/>
        <w:tblBorders>
          <w:top w:val="none" w:sz="4"/>
          <w:left w:val="none" w:sz="4"/>
          <w:bottom w:val="none" w:sz="4"/>
          <w:right w:val="none" w:sz="4"/>
          <w:insideH w:val="none" w:sz="4"/>
          <w:insideV w:val="none" w:sz="4"/>
        </w:tblBorders>
        <w:tblLook w:val="04A0"/>
      </w:tblPr>
      <w:tblGrid>
        <w:gridCol w:w="4813"/>
        <w:gridCol w:w="4814"/>
      </w:tblGrid>
      <w:tr>
        <w:trPr/>
        <w:tc>
          <w:tcPr>
            <w:cnfStyle w:val="101000000000"/>
            <w:tcW w:w="4813" w:type="dxa"/>
          </w:tcPr>
          <w:p>
            <w:pPr>
              <w:contextualSpacing w:val="on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Барсик сунул к мышкам нос.</w:t>
            </w:r>
          </w:p>
          <w:p>
            <w:pPr>
              <w:contextualSpacing w:val="on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«Мышки, есть один вопрос:</w:t>
            </w:r>
          </w:p>
          <w:p>
            <w:pPr>
              <w:contextualSpacing w:val="on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Может, знает кто из вас,</w:t>
            </w:r>
          </w:p>
          <w:p>
            <w:pPr>
              <w:contextualSpacing w:val="on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Скоро ль будет тихий час?»</w:t>
            </w:r>
          </w:p>
        </w:tc>
        <w:tc>
          <w:tcPr>
            <w:cnfStyle w:val="100000000000"/>
            <w:tcW w:w="4814" w:type="dxa"/>
          </w:tcPr>
          <w:p>
            <w:pPr>
              <w:contextualSpacing w:val="on"/>
              <w:jc w:val="center"/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На каждый ударный слог пальцы одной руки соединяются с большим по порядку вперед и назад.</w:t>
            </w:r>
          </w:p>
          <w:p>
            <w:pPr>
              <w:contextualSpacing w:val="on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После двустишия – смена руки.</w:t>
            </w:r>
          </w:p>
        </w:tc>
      </w:tr>
    </w:tbl>
    <w:p>
      <w:pPr>
        <w:spacing w:after="0" w:line="240" w:lineRule="auto"/>
        <w:ind w:firstLine="851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ListParagraph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Заключение.</w:t>
      </w:r>
    </w:p>
    <w:p>
      <w:pPr>
        <w:spacing w:after="0" w:line="240" w:lineRule="auto"/>
        <w:ind w:firstLine="85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Пальчиковые игры</w:t>
      </w:r>
      <w:r>
        <w:rPr>
          <w:rFonts w:ascii="Times New Roman" w:cs="Times New Roman" w:hAnsi="Times New Roman"/>
          <w:sz w:val="28"/>
          <w:szCs w:val="28"/>
        </w:rPr>
        <w:t xml:space="preserve">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</w:t>
      </w:r>
      <w:r>
        <w:rPr>
          <w:rFonts w:ascii="Times New Roman" w:cs="Times New Roman" w:hAnsi="Times New Roman"/>
          <w:sz w:val="28"/>
          <w:szCs w:val="28"/>
        </w:rPr>
        <w:t xml:space="preserve"> – достигаемые результаты и эмоциональное общение с близкими. </w:t>
      </w:r>
      <w:r>
        <w:rPr>
          <w:rFonts w:ascii="Times New Roman" w:cs="Times New Roman" w:hAnsi="Times New Roman"/>
          <w:sz w:val="28"/>
          <w:szCs w:val="28"/>
        </w:rPr>
        <w:t>Пальчиковая гимнастика способствует развитию мелкой моторики, речи, основных психических процессов, а также коммуникативности. К концу дошкольного возраста кисти рук ребенка становятся более подвижными и гибкими, что способствует успешному овладению навыками письма в будущем.</w:t>
      </w:r>
    </w:p>
    <w:p>
      <w:pPr>
        <w:spacing w:after="0" w:line="240" w:lineRule="auto"/>
        <w:ind w:firstLine="851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851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851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ListParagraph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cs="Times New Roman" w:hAnsi="Times New Roman"/>
          <w:sz w:val="28"/>
          <w:szCs w:val="28"/>
        </w:rPr>
      </w:pPr>
    </w:p>
    <w:sectPr>
      <w:footerReference w:type="default" r:id="rId10"/>
      <w:pgSz w:w="11906" w:h="16838"/>
      <w:pgMar w:top="1134" w:right="851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jc w:val="right"/>
      <w:rPr/>
    </w:pPr>
  </w:p>
  <w:p>
    <w:pPr>
      <w:pStyle w:val="Footer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multilevel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Times New Roman" w:cs="Times New Roman" w:eastAsiaTheme="minorHAnsi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multilevel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Times New Roman" w:cs="Times New Roman" w:eastAsiaTheme="minorHAnsi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211" w:hanging="360"/>
      </w:pPr>
      <w:rPr/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211" w:hanging="360"/>
      </w:pPr>
      <w:rPr/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EC"/>
    <w:rsid w:val="001B7E63"/>
    <w:rsid w:val="00232E99"/>
    <w:rsid w:val="00263C03"/>
    <w:rsid w:val="002C4193"/>
    <w:rsid w:val="00524E84"/>
    <w:rsid w:val="00573DDC"/>
    <w:rsid w:val="005F7C49"/>
    <w:rsid w:val="00640299"/>
    <w:rsid w:val="006A28B4"/>
    <w:rsid w:val="007178F2"/>
    <w:rsid w:val="00745E6E"/>
    <w:rsid w:val="00A57295"/>
    <w:rsid w:val="00AA28EC"/>
    <w:rsid w:val="00BB4F62"/>
    <w:rsid w:val="00BC1256"/>
    <w:rsid w:val="00C67926"/>
    <w:rsid w:val="00CA30F3"/>
    <w:rsid w:val="00CE52EB"/>
    <w:rsid w:val="00D2784E"/>
    <w:rsid w:val="00D30D1F"/>
    <w:rsid w:val="00DA7AB4"/>
    <w:rsid w:val="00F9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AAD2"/>
  <w15:chartTrackingRefBased/>
  <w15:docId w15:val="{60E6FCA2-3E28-4366-8880-117016A0ACC7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Normal(Web)">
    <w:name w:val="Normal (Web)"/>
    <w:basedOn w:val="Normal"/>
    <w:uiPriority w:val="99"/>
    <w:semiHidden w:val="on"/>
    <w:unhideWhenUsed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ВерхнийколонтитулЗнак"/>
    <w:uiPriority w:val="99"/>
    <w:unhideWhenUsed w:val="on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table" w:styleId="TableGrid">
    <w:name w:val="Table Grid"/>
    <w:basedOn w:val="NormalTable"/>
    <w:uiPriority w:val="39"/>
    <w:pPr>
      <w:spacing w:after="0" w:line="240" w:lineRule="auto"/>
    </w:pPr>
    <w:tblPr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</w:style>
  <w:style w:type="paragraph" w:customStyle="1" w:styleId="C1">
    <w:name w:val="C1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5b9bd5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  <w:numId w:val="0"/>
      </w:numPr>
    </w:pPr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5b9bd5" w:themeColor="accent1" w:sz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2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0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460228036">
              <w:marLeft w:val="0"/>
              <w:marRight w:val="2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34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40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2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374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2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7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footer" Target="foot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Кононенко</dc:creator>
  <cp:lastModifiedBy>logoped134</cp:lastModifiedBy>
</cp:coreProperties>
</file>