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25" w:rsidRPr="00A77325" w:rsidRDefault="00A77325" w:rsidP="00A773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i/>
          <w:iCs/>
          <w:color w:val="666666"/>
          <w:sz w:val="36"/>
          <w:szCs w:val="36"/>
          <w:shd w:val="clear" w:color="auto" w:fill="FFFFFF"/>
          <w:lang w:eastAsia="ru-RU"/>
        </w:rPr>
        <w:t>Доклад</w:t>
      </w:r>
    </w:p>
    <w:p w:rsidR="00A77325" w:rsidRPr="00A77325" w:rsidRDefault="00A77325" w:rsidP="00A773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i/>
          <w:iCs/>
          <w:color w:val="666666"/>
          <w:sz w:val="36"/>
          <w:szCs w:val="36"/>
          <w:shd w:val="clear" w:color="auto" w:fill="FFFFFF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i/>
          <w:iCs/>
          <w:color w:val="666666"/>
          <w:sz w:val="36"/>
          <w:szCs w:val="36"/>
          <w:shd w:val="clear" w:color="auto" w:fill="FFFFFF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>«Система работы по профориентации 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>учащихся»</w:t>
      </w:r>
    </w:p>
    <w:p w:rsidR="00A77325" w:rsidRPr="00A77325" w:rsidRDefault="00A77325" w:rsidP="00A773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i/>
          <w:iCs/>
          <w:color w:val="666666"/>
          <w:sz w:val="52"/>
          <w:szCs w:val="52"/>
          <w:shd w:val="clear" w:color="auto" w:fill="FFFFFF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</w:pPr>
      <w:proofErr w:type="gramStart"/>
      <w:r w:rsidRPr="00A77325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>( выступление</w:t>
      </w:r>
      <w:proofErr w:type="gramEnd"/>
      <w:r w:rsidRPr="00A77325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> на МО   классных руководителей)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                                                                   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                            </w:t>
      </w: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Подготовила</w:t>
      </w:r>
    </w:p>
    <w:p w:rsidR="00A77325" w:rsidRDefault="00A77325" w:rsidP="00A77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классный руководитель 5</w:t>
      </w: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ГКОУ «Красноярская школа- интернат»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Кривоспицкая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С.В.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i/>
          <w:iCs/>
          <w:color w:val="666666"/>
          <w:sz w:val="36"/>
          <w:szCs w:val="36"/>
          <w:shd w:val="clear" w:color="auto" w:fill="FFFFFF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i/>
          <w:iCs/>
          <w:color w:val="666666"/>
          <w:sz w:val="36"/>
          <w:szCs w:val="36"/>
          <w:shd w:val="clear" w:color="auto" w:fill="FFFFFF"/>
          <w:lang w:eastAsia="ru-RU"/>
        </w:rPr>
        <w:t> </w:t>
      </w: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</w:pPr>
    </w:p>
    <w:p w:rsidR="00A77325" w:rsidRPr="00A77325" w:rsidRDefault="00A77325" w:rsidP="00A7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  <w:t>2023</w:t>
      </w:r>
      <w:r w:rsidRPr="00A77325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  <w:t xml:space="preserve"> г.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lastRenderedPageBreak/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bookmarkStart w:id="0" w:name="_GoBack"/>
      <w:bookmarkEnd w:id="0"/>
      <w:r w:rsidRPr="00A77325">
        <w:rPr>
          <w:rFonts w:ascii="Times New Roman" w:eastAsia="Times New Roman" w:hAnsi="Times New Roman" w:cs="Times New Roman"/>
          <w:color w:val="2B2B2B"/>
          <w:sz w:val="36"/>
          <w:szCs w:val="36"/>
          <w:shd w:val="clear" w:color="auto" w:fill="FFFFFF"/>
          <w:lang w:eastAsia="ru-RU"/>
        </w:rPr>
        <w:t>Труд составляет самую крепкую и надежную связь между тем человеком, который трудится, и тем обществом, на пользу которого направлен этот труд.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hyperlink r:id="rId4" w:tgtFrame="_blank" w:history="1">
        <w:r w:rsidRPr="00A77325">
          <w:rPr>
            <w:rFonts w:ascii="Times New Roman" w:eastAsia="Times New Roman" w:hAnsi="Times New Roman" w:cs="Times New Roman"/>
            <w:color w:val="267F8C"/>
            <w:sz w:val="36"/>
            <w:szCs w:val="36"/>
            <w:shd w:val="clear" w:color="auto" w:fill="FFFFFF"/>
            <w:lang w:eastAsia="ru-RU"/>
          </w:rPr>
          <w:t>Д. И. Писарев</w:t>
        </w:r>
      </w:hyperlink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     Одним из приоритетных направлений специального (коррекционного) обучения детей с отклонениями в развитии наряду с общим образованием является обеспечение для них реальной возможности получения трудовой подготовки. Обусловлено это тем, что большинству выпускников только трудовое обучение в специальных (коррекционных) общеобразовательных школах, направленное на профессиональную подготовку, коррекцию и компенсацию их умственного и физического развития, обеспечивает возможность трудоустройства в сфере материального производства.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Отличия трудовой подготовки детей с отклонениями в развитии по сравнению с их нормально развивающимися сверстниками вызваны необходимостью ее усиления в целях коррекции отклоняющегося развития и подготовки выпускников к полноценному участию в трудовой жизни в современных условиях экономического развития общества.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      Задачами </w:t>
      </w: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трудовой подготовки учащихся с отклонениями в развитии являются: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 - воспитание мотивированного жизненно-заинтересованного отношения к труду и формирование соответствующих качеств личности (умения работать в коллективе, чувства самостоятельности, самоутверждения, ответственности;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 - коррекция и компенсация средствами трудового обучения недостатков физического и умственного развития;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- профессиональная подготовка к производительному труду, которая позволяет окончившим школу работать на производстве.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lastRenderedPageBreak/>
        <w:t>    Эти задачи, являющиеся основополагающими для всех категорий детей с отклонениями в развитии, особое значение приобретают в отношении умственно отсталых учащихся, которые в силу своих интеллектуальных и психофизических особенностей и возможностей являются наиболее ущербными в плане обеспечения им общего образования, трудовой подготовки и особенно трудоустройства.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    Дальнейшая судьба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выпускников  школ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проблематична, так как на рынке труда они не выдерживают конкуренции со своими нормально развивающимися сверстниками. Особенно остра проблема трудоустройства, так как помимо снижения интеллекта, учащиеся имеют, как правило, сопутствующие психоневрологические, физические и соматические осложнения, мешающие становлению профессиональных навыков, ведущих к квалификационным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умениям .</w:t>
      </w:r>
      <w:proofErr w:type="gramEnd"/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    Как показывает практика, правильно созданные в них условия, формы и содержание профессионально-трудовой подготовки способны обеспечить ученику освоение в соответствии с его возможностями трудовых умений и навыков, профессиональных программ, формирование общей культуры личности, ее социализации и решению сопутствующих проблем социально-бытовых, нравственно-этических.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Эта среда должна, по возможности,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компенсировать,  ограничения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жизнедеятельности умственно отсталого ребенка, позволяя ему после окончания школы выступать на рынке труда в доступных для него областях.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    </w:t>
      </w: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Задача учителя</w:t>
      </w: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– помочь учащимся в самоопределении, выборе дальнейшего жизненного пути в соответствии с их склонностями, возможностями и способностями, стимулировать выпускников к продолжению образования.</w:t>
      </w:r>
    </w:p>
    <w:p w:rsidR="00A77325" w:rsidRPr="00A77325" w:rsidRDefault="00A77325" w:rsidP="00A77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lastRenderedPageBreak/>
        <w:t>     Очень важно учащихся коррекционной школы-интерната 8 вида подготовить к тому, что любой труд достоин уважения, что к выполнению любой работы надо подходить ответственно и стараться сделать её качественно.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     Одним из направлений моей деятельности как классного руководителя является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профориентационная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работа среди обучающихся, которая начинается с первых дней пребывания ребёнка в школе в условиях предметно- практической деятельности, т.е. с 5 класса.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В системе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профориентационной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работы в школе классный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руководитель выступает центральной фигурой, и находится ближе всех педагогов к обучающимся, я доверительнее всех общаюсь с ними, кроме того, являюсь координатором всех воспитательных дел в своём классе.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С 5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класса  я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начала знакомить учащихся с формами и содержанием трудовой деятельности окружающих взрослых, организовывала экскурсии , проводила беседы , с помощью которых  обучающиеся постигают многообразие и важность школьных профессий, познают их суть, знакомила с их содержанием, раскрывала общественную значимость этих профессий, воспитывала уважение к труду.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      Огромное значение имеет взаимодействие классного руководителя и учителей трудового обучения.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  В 9 А классе учебным процессом профориентация осуществляется в этом году по трём направлениям: столярное дело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–  посещают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5 человек и сельскохозяйственный труд – 2 человека, швейное дело – 1 девочка.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На уроках столярного дела ребята получают основные навыки обработки древесины (пиления, строгания, сверления). На уроках сельскохозяйственного труда – получают навыки по животноводству, овощеводству и растениеводству.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    На уроках швейного дела учащиеся овладевают навыками пошива швейных изделий, необходимых для дальнейшей жизни в социуме.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  Важное значение в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профориентационной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работе с обучающимися играет выполнение общественно-трудовых поручений в классе, которое возлагает на детей постоянную заботу о деле, воспитывает в них ответственность, формирует привычку к трудовому усилию, развивает организаторские способности. Обучающиеся точно знают круг постоянных обязанностей и поручений, которые должен выполнять каждый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ученик .</w:t>
      </w:r>
      <w:proofErr w:type="gramEnd"/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Профессиональная ориентация в деятельности классного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руководителя – не только отдельные мероприятия, но целый комплекс педагогических воздействий, с помощью которых он выполняет направляющую и координирующую роль. Именно классный руководитель осуществляет координацию взаимодействия учителей, работающих в классе, специалистов школы, администрации,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родителей .</w:t>
      </w:r>
      <w:proofErr w:type="gramEnd"/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Я, как классный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руководитель,  проводила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работу по мотивации выбора профессии обучающихся.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    Основной формой профессионального просвещения учащихся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остается классный час, где я с 5 класса в доступной форме знакомила обучающихся с определенной профессией, ее социальной значимостью, престижем, условиями труда, давала обоснованный, квалифицированный совет о целесообразности выбора конкретной профессии.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   Наиболее распространенный метод</w:t>
      </w: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просвещения учащихся</w:t>
      </w:r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- это </w:t>
      </w:r>
      <w:proofErr w:type="spellStart"/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профориентационная</w:t>
      </w:r>
      <w:proofErr w:type="spellEnd"/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беседа (профессиональное просвещение).</w:t>
      </w:r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     Важность просвещения в том, </w:t>
      </w:r>
      <w:proofErr w:type="gramStart"/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</w:t>
      </w:r>
      <w:proofErr w:type="gramEnd"/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благодаря ему, расширяются рамки свободы выбора профессии, чем больше будут знать учащиеся о различных видах производства и профессиях, об условиях труда, о том, где </w:t>
      </w:r>
      <w:r w:rsidRPr="00A7732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можно обучиться той или иной специальности, тем осознаннее будет его выбор.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Кроме того, важную роль в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профориентационной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работе играют заочные экскурсии, в виде презентаций профессий. Эти заочные экскурсии выступают как форма наглядного ознакомления обучающихся с производством, миром труда и профессионального образования. После каждой презентации проводилось обсуждение. 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В этом учебном году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с  учащимися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9А класса были проведена  экскурсия в аграрный техникум, на котором дети  получили объективную информацию о производстве, условиях труда, социальном пакете и т.д.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    Эффективной формой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профориентационной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работы в школе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являются коллективные творческие дела (КТД). КТД – результат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сотрудничества учителей трудового обучения, классных руководителей и учащихся (благоустройство территории, организация субботников и т. д.).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   Только системная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профориентационная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работа с учащимися может подготовить детей с умственно отсталостью к осознанному выбору своей будущей профессии. Нужно отметить, что правильное суждение о своих возможностях имеет огромное значение для осуществления правильной профессиональной ориентации. Учеников вспомогательных школ необходимо научить реально представлять свои возможности в будущей трудовой деятельности. Поэтому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профориентационная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работа </w:t>
      </w:r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в  школе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– интернате  должна быть нацелена на актуализацию профессионального самоопределения учащихся.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lastRenderedPageBreak/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u w:val="single"/>
          <w:lang w:eastAsia="ru-RU"/>
        </w:rPr>
        <w:t>Литература.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“Учебно-методический кабинет профессиональной ориентации: Книга для учителя” / Л.В.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Ботякова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, А.Е.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Голомшток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, С.С.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Гриншпун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и др. М.: Просвещение, 1986 г.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Чистяков Н.Н.,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Буянова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Г.А., Касаткина Н. </w:t>
      </w:r>
      <w:proofErr w:type="spellStart"/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Э.“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Профессиональная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ориентация в УПК”; М.: Педагогика, 1985г.   (Педагогический поиск: Опыт, проблемы, находки); 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3. “Школа и труд” / под ред. П.Г. </w:t>
      </w:r>
      <w:proofErr w:type="spell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Атутова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, В.А. </w:t>
      </w:r>
      <w:proofErr w:type="spellStart"/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Кальнес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.-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М.: Педагогика, 1987 г..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4. Школа и выбор профессии” / под ред. В.А. Полякова, С.Н. Чистяковой, Г.Г. </w:t>
      </w:r>
      <w:proofErr w:type="spellStart"/>
      <w:proofErr w:type="gramStart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Агановой</w:t>
      </w:r>
      <w:proofErr w:type="spell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.-</w:t>
      </w:r>
      <w:proofErr w:type="gramEnd"/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М.: Педагогика, 1987 г. (Библиотека учителя и воспитателя);</w:t>
      </w:r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hyperlink r:id="rId5" w:tgtFrame="_blank" w:history="1">
        <w:r w:rsidRPr="00A77325">
          <w:rPr>
            <w:rFonts w:ascii="Times New Roman" w:eastAsia="Times New Roman" w:hAnsi="Times New Roman" w:cs="Times New Roman"/>
            <w:color w:val="267F8C"/>
            <w:sz w:val="36"/>
            <w:szCs w:val="36"/>
            <w:lang w:eastAsia="ru-RU"/>
          </w:rPr>
          <w:t>www.infomost.ru/pmuz/number</w:t>
        </w:r>
      </w:hyperlink>
    </w:p>
    <w:p w:rsidR="00A77325" w:rsidRPr="00A77325" w:rsidRDefault="00A77325" w:rsidP="00A7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7732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www.redline.ru/education.old/rubricator</w:t>
      </w:r>
    </w:p>
    <w:p w:rsidR="00E20DB2" w:rsidRDefault="00A77325"/>
    <w:sectPr w:rsidR="00E2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12"/>
    <w:rsid w:val="0003441B"/>
    <w:rsid w:val="009461E0"/>
    <w:rsid w:val="009E3112"/>
    <w:rsid w:val="00A77325"/>
    <w:rsid w:val="00B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9857-A62E-4C7A-AF72-D4AAAE5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7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7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7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fond.ru/view.aspx?id=37426" TargetMode="External"/><Relationship Id="rId4" Type="http://schemas.openxmlformats.org/officeDocument/2006/relationships/hyperlink" Target="http://xn----itbcbkbuedi0cs5c6cc.xn--p1ai/%D1%86%D0%B8%D1%82%D0%B0%D1%82%D1%8B/%D0%BF%D0%BE%20%D0%B0%D0%B2%D1%82%D0%BE%D1%80%D0%B0%D0%BC/%D0%94.%20%D0%98.%20%D0%9F%D0%B8%D1%81%D0%B0%D1%80%D0%B5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2023-06-09T05:33:00Z</dcterms:created>
  <dcterms:modified xsi:type="dcterms:W3CDTF">2023-06-09T05:36:00Z</dcterms:modified>
</cp:coreProperties>
</file>