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Методическая разработка</w:t>
      </w: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обучению детей младшего дошкольного возраста правилам дорожного движения</w:t>
      </w: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Каждому положено знать правила дорожные</w:t>
      </w:r>
      <w:r>
        <w:rPr>
          <w:rFonts w:ascii="Times New Roman" w:hAnsi="Times New Roman" w:cs="Times New Roman" w:eastAsia="Times New Roman"/>
          <w:color w:val="auto"/>
          <w:spacing w:val="0"/>
          <w:position w:val="0"/>
          <w:sz w:val="28"/>
          <w:shd w:fill="auto" w:val="clear"/>
        </w:rPr>
        <w:t xml:space="preserve">»</w:t>
      </w: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методической разработки</w:t>
      </w: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center"/>
        <w:rPr>
          <w:rFonts w:ascii="Times New Roman" w:hAnsi="Times New Roman" w:cs="Times New Roman" w:eastAsia="Times New Roman"/>
          <w:color w:val="auto"/>
          <w:spacing w:val="0"/>
          <w:position w:val="0"/>
          <w:sz w:val="28"/>
          <w:shd w:fill="auto" w:val="clear"/>
        </w:rPr>
      </w:pPr>
    </w:p>
    <w:p>
      <w:pPr>
        <w:numPr>
          <w:ilvl w:val="0"/>
          <w:numId w:val="5"/>
        </w:numPr>
        <w:spacing w:before="0" w:after="16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Пояснительная записка.</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краткое обоснование выбора темы методической разработки;</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целевая аудитория;</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роль и место мероприятия в системе работы педагогического  работника;</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цель, задачи, планируемые результаты мероприятия;</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форма проведения мероприятия и обоснование ее выбора;</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педагогические технологии, методы, приемы, используемые для достижения планируемых результатов;</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ресурсы, необходимые для подготовки и проведения мероприятия;</w:t>
      </w:r>
    </w:p>
    <w:p>
      <w:pPr>
        <w:numPr>
          <w:ilvl w:val="0"/>
          <w:numId w:val="5"/>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рекомендации по использованию методической разработки в практике работы педагогического работника, популяризирующего БДД.</w:t>
      </w:r>
    </w:p>
    <w:p>
      <w:pPr>
        <w:spacing w:before="0" w:after="16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8"/>
        </w:numPr>
        <w:spacing w:before="0" w:after="16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часть:</w:t>
      </w:r>
    </w:p>
    <w:p>
      <w:pPr>
        <w:numPr>
          <w:ilvl w:val="0"/>
          <w:numId w:val="8"/>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описание хода проведения мероприятия;</w:t>
      </w:r>
    </w:p>
    <w:p>
      <w:pPr>
        <w:numPr>
          <w:ilvl w:val="0"/>
          <w:numId w:val="8"/>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методические советы по организации, проведению и подведению итогов мероприятия;</w:t>
      </w:r>
    </w:p>
    <w:p>
      <w:pPr>
        <w:numPr>
          <w:ilvl w:val="0"/>
          <w:numId w:val="8"/>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список использованной литературы;</w:t>
      </w:r>
    </w:p>
    <w:p>
      <w:pPr>
        <w:numPr>
          <w:ilvl w:val="0"/>
          <w:numId w:val="8"/>
        </w:numPr>
        <w:spacing w:before="0" w:after="160" w:line="240"/>
        <w:ind w:right="0" w:left="1353"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приложение.</w:t>
      </w:r>
    </w:p>
    <w:p>
      <w:pPr>
        <w:spacing w:before="0" w:after="160" w:line="240"/>
        <w:ind w:right="0" w:left="1440" w:firstLine="0"/>
        <w:jc w:val="left"/>
        <w:rPr>
          <w:rFonts w:ascii="Times New Roman" w:hAnsi="Times New Roman" w:cs="Times New Roman" w:eastAsia="Times New Roman"/>
          <w:color w:val="auto"/>
          <w:spacing w:val="0"/>
          <w:position w:val="0"/>
          <w:sz w:val="28"/>
          <w:shd w:fill="auto" w:val="clear"/>
        </w:rPr>
      </w:pPr>
    </w:p>
    <w:p>
      <w:pPr>
        <w:numPr>
          <w:ilvl w:val="0"/>
          <w:numId w:val="11"/>
        </w:numPr>
        <w:spacing w:before="0" w:after="160" w:line="240"/>
        <w:ind w:right="0" w:left="108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Цифровой след методической разработки. Видео. </w:t>
      </w: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8"/>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spacing w:before="0" w:after="160" w:line="240"/>
        <w:ind w:right="0" w:left="720" w:firstLine="0"/>
        <w:jc w:val="left"/>
        <w:rPr>
          <w:rFonts w:ascii="Times New Roman" w:hAnsi="Times New Roman" w:cs="Times New Roman" w:eastAsia="Times New Roman"/>
          <w:color w:val="auto"/>
          <w:spacing w:val="0"/>
          <w:position w:val="0"/>
          <w:sz w:val="22"/>
          <w:shd w:fill="auto" w:val="clear"/>
        </w:rPr>
      </w:pPr>
    </w:p>
    <w:p>
      <w:pPr>
        <w:numPr>
          <w:ilvl w:val="0"/>
          <w:numId w:val="13"/>
        </w:numPr>
        <w:spacing w:before="0" w:after="16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w:t>
      </w:r>
    </w:p>
    <w:p>
      <w:pPr>
        <w:spacing w:before="0" w:after="16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Актуальность данной методической разработки заключается в том, что обучение Правилам дорожного движения должно происходить у детей в младшем дошкольном возрасте. К сожалению, в Российской Федерации остро стоит вопрос дорожно-транспортного детского травматизма. Прослеживается печальная тенденция в связи с увеличением мощности двигателей современных автомобилей, пропускной поток на дорогах все затруднительнее, автомобилей и мототехники с каждым днем на дорогах становится все больше, и, как следствие, аварий на дорогах становится не меньше. </w:t>
      </w:r>
    </w:p>
    <w:p>
      <w:pPr>
        <w:spacing w:before="0" w:after="16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Исследования в данной области показывают, что причиной ДТП с участием детей во многом связаны с тем, что ребята не способны правильно оценить обстановку в силу своего возраста. Потребность в активной двигательной подвижности возрастает. Главное, взрослые должны быть примером правильного поведения на дороге для своих детей. Не секрет, что дети любого возраста копируют поведение своих родителей, старших братьев и сестер. Именно в младшем дошкольном возрасте следует закладывать детям культуру поведения на дорогах.</w:t>
      </w:r>
    </w:p>
    <w:p>
      <w:pPr>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Целевая аудитория.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возрасте трех лет у детей происходит большой скачок физического развития.  Известный психолог Ж.Пиаже считал, что мышление детей трех лет устроено таким образом, что они не могут посмотреть на ситуацию со стороны. Этот феномен назван эгоцентризмом мышления. Малыши в 3 года еще не способны до конца понять связи между событиями или явлениями, поэтому в мышлении ребенка мало логики и много фантазии.</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Именно в этом возрасте происходит очень важный переход от наглядно-действенного к наглядно-образному мышлению, который в последствии переходит в логическое мышление.</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в игровой форме знакомятся с такими понятиями как: светофор, дорожные знаки, пешеход, водитель.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обучения детей правилам дорожного движения актуальна и современна всегда. Детей нельзя приравнивать к категории взрослых в силу их возрастных особенностей. Ребенок не будет заучивать наизусть сигналы светофора, дорожные знаки. Перед воспитателем стоит задача: в игровой форме подать материал, который пригодиться ребенку в жизни. Формирование у детей навыков безопасного поведения на дорогах можно реализовать при помощи следующих видах деятельности: коммуникативной, трудовой, коллективной, продуктивной, музыкально-художественной.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соблюдений правил на дорогах приобрела особую значимость с появлением большого количества автомобилей с усовершенствуемым двигателем и большим количеством лошадиных сил.</w:t>
      </w:r>
    </w:p>
    <w:p>
      <w:pPr>
        <w:spacing w:before="0" w:after="16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Роль и место мероприятия в системе работы педагогического работника.</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детей правилам дорожного движения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жизненная необходимость, поэтому в любом дошкольном учреждении регулярно проходят различные мероприятия ПДД. Воспитатель старается до детей донести свод правил безопасности, который пригодиться им впоследствии. Родители заинтересованы в успешном освоении программы безопасности, поэтому мы совместно (родители и воспитатели) проводим мероприятия на заданную тематику. Велика роль детских садов в формировании умении читать сигналы светофора и регулировщика, запоминать значение дорожных знаков, законов улиц и дорог. Знание правил ПДД становятся нормой для детей, а их соблюдение-законом.</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Цель проекта </w:t>
      </w:r>
      <w:r>
        <w:rPr>
          <w:rFonts w:ascii="Times New Roman" w:hAnsi="Times New Roman" w:cs="Times New Roman" w:eastAsia="Times New Roman"/>
          <w:color w:val="auto"/>
          <w:spacing w:val="0"/>
          <w:position w:val="0"/>
          <w:sz w:val="28"/>
          <w:shd w:fill="auto" w:val="clear"/>
        </w:rPr>
        <w:t xml:space="preserve">- формирование у детей представления об участниках дорожного движения, формирование знаний ПДД.</w:t>
      </w:r>
    </w:p>
    <w:p>
      <w:pPr>
        <w:spacing w:before="0" w:after="16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w:t>
      </w:r>
    </w:p>
    <w:p>
      <w:pPr>
        <w:spacing w:before="0" w:after="16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Образовательные:</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научить различать сигналы светофора, дать понятие о дороге и участниках движения, понимать и различать сигналы светофора.</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Развивающие:</w:t>
      </w:r>
      <w:r>
        <w:rPr>
          <w:rFonts w:ascii="Times New Roman" w:hAnsi="Times New Roman" w:cs="Times New Roman" w:eastAsia="Times New Roman"/>
          <w:color w:val="auto"/>
          <w:spacing w:val="0"/>
          <w:position w:val="0"/>
          <w:sz w:val="28"/>
          <w:shd w:fill="auto" w:val="clear"/>
        </w:rPr>
        <w:t xml:space="preserve"> развивать интерес к законам города, поселка; дать понятие о различии в знаках для автомобилей и людей.</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Воспитательные:</w:t>
      </w:r>
      <w:r>
        <w:rPr>
          <w:rFonts w:ascii="Times New Roman" w:hAnsi="Times New Roman" w:cs="Times New Roman" w:eastAsia="Times New Roman"/>
          <w:color w:val="auto"/>
          <w:spacing w:val="0"/>
          <w:position w:val="0"/>
          <w:sz w:val="28"/>
          <w:shd w:fill="auto" w:val="clear"/>
        </w:rPr>
        <w:t xml:space="preserve"> развивать умение слушать взрослых, обогащать свой словарный запас, воспитывать культуру общения и поведения, воспитывать осознанную позицию участника дорожного движения.</w:t>
      </w:r>
    </w:p>
    <w:p>
      <w:pPr>
        <w:spacing w:before="0" w:after="16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b/>
          <w:color w:val="auto"/>
          <w:spacing w:val="0"/>
          <w:position w:val="0"/>
          <w:sz w:val="28"/>
          <w:shd w:fill="auto" w:val="clear"/>
        </w:rPr>
        <w:t xml:space="preserve">Форма проведения мероприятия</w:t>
      </w:r>
      <w:r>
        <w:rPr>
          <w:rFonts w:ascii="Times New Roman" w:hAnsi="Times New Roman" w:cs="Times New Roman" w:eastAsia="Times New Roman"/>
          <w:color w:val="auto"/>
          <w:spacing w:val="0"/>
          <w:position w:val="0"/>
          <w:sz w:val="28"/>
          <w:shd w:fill="auto" w:val="clear"/>
        </w:rPr>
        <w:t xml:space="preserve">-беседа с детьми, рассказы воспитателя, чтение художественной литературы, подвижные игры, целевые прогулки к перекрестку, остановке, светофору.</w:t>
      </w:r>
    </w:p>
    <w:p>
      <w:pPr>
        <w:numPr>
          <w:ilvl w:val="0"/>
          <w:numId w:val="21"/>
        </w:numPr>
        <w:spacing w:before="0" w:after="16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Педагогические технологии</w:t>
      </w:r>
      <w:r>
        <w:rPr>
          <w:rFonts w:ascii="Times New Roman" w:hAnsi="Times New Roman" w:cs="Times New Roman" w:eastAsia="Times New Roman"/>
          <w:color w:val="auto"/>
          <w:spacing w:val="0"/>
          <w:position w:val="0"/>
          <w:sz w:val="28"/>
          <w:shd w:fill="auto" w:val="clear"/>
        </w:rPr>
        <w:t xml:space="preserve"> помогли повысить эффективность образовательного процесса. Были использованы следующие виды технологий: </w:t>
      </w:r>
    </w:p>
    <w:p>
      <w:pPr>
        <w:spacing w:before="0" w:after="16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игровая; </w:t>
      </w:r>
    </w:p>
    <w:p>
      <w:pPr>
        <w:spacing w:before="0" w:after="16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информационная;</w:t>
      </w:r>
    </w:p>
    <w:p>
      <w:pPr>
        <w:spacing w:before="0" w:after="16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анализ ситуации (кейс-технология);</w:t>
      </w:r>
    </w:p>
    <w:p>
      <w:pPr>
        <w:spacing w:before="0" w:after="16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технология сотрудничества.</w:t>
      </w:r>
    </w:p>
    <w:p>
      <w:pPr>
        <w:spacing w:before="0" w:after="160" w:line="240"/>
        <w:ind w:right="0" w:left="72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Игровая технология доказала свою эффективность. Дети легко вовлекаются в соревнования, игры. Дети в форме игры отдыхают и вместе с тем обучаются ПДД. Дети с удовольствием играют, особенно им нравится играть с предметами (светофор, знаки дорожного движения) для их возраста характерна яркость и непосредственность восприятия образов.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Применение информативных технологий позволяет сделать занятие неповторимым, наглядным. При помощи проектора и компьютера ребята смотрят обучающие мультфильмы, ролики с ПДД, Использование анимаций и презентаций позволяет развить интерес к изучаемой теме. Новые знания закрепляются благодаря воздействию на несколько чувств восприятия.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Кейс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метод, который выступает как способ коллективного обучения, дети могут взаимно обменяться информацией, попробовать решить проблемы, поставленные перед ними, самостоятельно. В практике детских садов широко применяют кейс-иллюстрации, кейс-фото. Кейс-иллюстрация - это иллюстрация, которая используется для рассмотрения проблемной ситуации. На занятиях мы рассматриваем иллюстрации, дети отвечают на вопросы, обмениваются мнениями. Мы делаем вывод, как следует вести себя на дороге, чего не следует делать в опасных ситуациях. Правила правильного поведения проговариваются по несколько раз.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реализации технологии сотрудничества дети дошкольного возраста овладевают необходимыми навыками взаимодействия меду собой и с педагогом; навыками само и взаимного контроля результатов деятельности; формируется умение отстаивать своё мнение, указывать на ошибки других и исправлять их, развивается умение оценивать свои достижения, используя прогностическую оценку, закладывается основа адекватной самооценки, формируется база учебной деятельности, необходимая детям в школьном обучении, что позволит дошкольникам безболезненно войти в школьную жизнь.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своей работе я использую следующие приемы: </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 сравнения. Метод сравнения помогает детям выполнять задания на группировку и классификацию. Например, сравниваем светофор и знаки запрещающие. Находим сходство и различия.</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 моделирования ситуаций.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Например, ответь на вопрос: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следует вести себя вблизи проезжей части во время гололеда</w:t>
      </w:r>
      <w:r>
        <w:rPr>
          <w:rFonts w:ascii="Times New Roman" w:hAnsi="Times New Roman" w:cs="Times New Roman" w:eastAsia="Times New Roman"/>
          <w:color w:val="auto"/>
          <w:spacing w:val="0"/>
          <w:position w:val="0"/>
          <w:sz w:val="28"/>
          <w:shd w:fill="auto" w:val="clear"/>
        </w:rPr>
        <w:t xml:space="preserve">».</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 повторения. В образовательной деятельности он выступает как ведущий метод или методический прием. Повторение приводит к появлению обобщений, способствует самостоятельному формулированию выводов, повышает познавательную активность.</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Игровые приемы. Повышают качество усвоения познавательного материала и способствуют закреплению чувств. Игра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Воробушки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Собери машинку</w:t>
      </w:r>
      <w:r>
        <w:rPr>
          <w:rFonts w:ascii="Times New Roman" w:hAnsi="Times New Roman" w:cs="Times New Roman" w:eastAsia="Times New Roman"/>
          <w:color w:val="auto"/>
          <w:spacing w:val="0"/>
          <w:position w:val="0"/>
          <w:sz w:val="28"/>
          <w:shd w:fill="auto" w:val="clear"/>
        </w:rPr>
        <w:t xml:space="preserve">».</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 творческих рассказов способствует развитию творческого воображения, использованию опыта, закреплению знаний. Например, воспитатель просит ребенка рассказать, как он добрался до детского сада. В повествование можно включать элементы сказки.</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Воспитывая дошкольников, педагог должен также применять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образовательной деятельности, при разборе опасных и безопасных дорожных ситуаций. Особенно важен принцип наглядности, который обязательно должен применяться в работе с дошкольниками. Дети должны сами увидеть, услышать и тем самым реализовать стремление к познанию.</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целом план проведения образовательной деятельности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pPr>
        <w:spacing w:before="0" w:after="16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1.7  </w:t>
      </w:r>
      <w:r>
        <w:rPr>
          <w:rFonts w:ascii="Times New Roman" w:hAnsi="Times New Roman" w:cs="Times New Roman" w:eastAsia="Times New Roman"/>
          <w:b/>
          <w:color w:val="auto"/>
          <w:spacing w:val="0"/>
          <w:position w:val="0"/>
          <w:sz w:val="28"/>
          <w:shd w:fill="auto" w:val="clear"/>
        </w:rPr>
        <w:t xml:space="preserve">Ресурсы, необходимые для подготовки и проведения мероприятия.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Самый важный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люди. Назначьте организаторов, которые проконтролируют мероприятие. Сформируйте инициативную группу: команду исполнителей, волонтеров, детей, которые желают взять на себя ответственность за проведение.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Время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один из главных ресурсов при планировании мероприятия. Предусмотрите план подготовки к мероприятию с точками контроля и крайними сроками этапов.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Следующий ресурс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материально-техническое обеспечение. Выберите площадку мероприятия: это может быть актовый зал детского сада, стадион, класс, территория социальных партнеров. Определитесь с оборудованием, которое потребуется: компьютер, проектор, мультимедийная доска, фото-видео-аудио аппаратура, специальный инвентарь. Обеспечьте комфорт: столы, стулья, кулеры.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Важный инструмент для мероприятия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информационное сопровождение. Продумайте, как ваша аудитория узнает о предстоящем мероприятии: создайте анонс для сайта и социальных сетей школы, афиши, объявления, приглашения и т. д. Помогите ребятам разработать план информационного обеспечения и следить за его выполнением. </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tbl>
      <w:tblPr/>
      <w:tblGrid>
        <w:gridCol w:w="2377"/>
        <w:gridCol w:w="3262"/>
        <w:gridCol w:w="3684"/>
      </w:tblGrid>
      <w:tr>
        <w:trPr>
          <w:trHeight w:val="425" w:hRule="auto"/>
          <w:jc w:val="left"/>
        </w:trPr>
        <w:tc>
          <w:tcPr>
            <w:tcW w:w="2377" w:type="dxa"/>
            <w:tcBorders>
              <w:top w:val="single" w:color="000000" w:sz="8"/>
              <w:left w:val="single" w:color="000000" w:sz="8"/>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Ресурс</w:t>
            </w:r>
          </w:p>
        </w:tc>
        <w:tc>
          <w:tcPr>
            <w:tcW w:w="3262" w:type="dxa"/>
            <w:tcBorders>
              <w:top w:val="single" w:color="000000" w:sz="8"/>
              <w:left w:val="single" w:color="000000" w:sz="0"/>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Детализация</w:t>
            </w:r>
          </w:p>
        </w:tc>
        <w:tc>
          <w:tcPr>
            <w:tcW w:w="3684" w:type="dxa"/>
            <w:tcBorders>
              <w:top w:val="single" w:color="000000" w:sz="8"/>
              <w:left w:val="single" w:color="000000" w:sz="0"/>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Ответственные</w:t>
            </w:r>
          </w:p>
        </w:tc>
      </w:tr>
      <w:tr>
        <w:trPr>
          <w:trHeight w:val="2079" w:hRule="auto"/>
          <w:jc w:val="left"/>
        </w:trPr>
        <w:tc>
          <w:tcPr>
            <w:tcW w:w="2377" w:type="dxa"/>
            <w:tcBorders>
              <w:top w:val="single" w:color="000000" w:sz="0"/>
              <w:left w:val="single" w:color="000000" w:sz="8"/>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Участники и организаторы</w:t>
            </w:r>
          </w:p>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люди)</w:t>
            </w:r>
          </w:p>
        </w:tc>
        <w:tc>
          <w:tcPr>
            <w:tcW w:w="3262" w:type="dxa"/>
            <w:tcBorders>
              <w:top w:val="single" w:color="000000" w:sz="0"/>
              <w:left w:val="single" w:color="000000" w:sz="0"/>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Воспитанники</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Родители, желающие помочь.</w:t>
            </w:r>
          </w:p>
          <w:p>
            <w:pPr>
              <w:spacing w:before="0" w:after="160" w:line="240"/>
              <w:ind w:right="0" w:left="0" w:firstLine="0"/>
              <w:jc w:val="both"/>
              <w:rPr>
                <w:color w:val="auto"/>
                <w:spacing w:val="0"/>
                <w:position w:val="0"/>
                <w:shd w:fill="auto" w:val="clear"/>
              </w:rPr>
            </w:pPr>
          </w:p>
        </w:tc>
        <w:tc>
          <w:tcPr>
            <w:tcW w:w="3684" w:type="dxa"/>
            <w:tcBorders>
              <w:top w:val="single" w:color="000000" w:sz="0"/>
              <w:left w:val="single" w:color="000000" w:sz="0"/>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Воспитатель, младший воспитатель.</w:t>
            </w:r>
          </w:p>
          <w:p>
            <w:pPr>
              <w:spacing w:before="0" w:after="160" w:line="240"/>
              <w:ind w:right="0" w:left="0" w:firstLine="0"/>
              <w:jc w:val="both"/>
              <w:rPr>
                <w:color w:val="auto"/>
                <w:spacing w:val="0"/>
                <w:position w:val="0"/>
                <w:shd w:fill="auto" w:val="clear"/>
              </w:rPr>
            </w:pPr>
          </w:p>
        </w:tc>
      </w:tr>
      <w:tr>
        <w:trPr>
          <w:trHeight w:val="1253" w:hRule="auto"/>
          <w:jc w:val="left"/>
        </w:trPr>
        <w:tc>
          <w:tcPr>
            <w:tcW w:w="2377" w:type="dxa"/>
            <w:tcBorders>
              <w:top w:val="single" w:color="000000" w:sz="0"/>
              <w:left w:val="single" w:color="000000" w:sz="8"/>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Оборудование</w:t>
            </w:r>
          </w:p>
        </w:tc>
        <w:tc>
          <w:tcPr>
            <w:tcW w:w="3262" w:type="dxa"/>
            <w:tcBorders>
              <w:top w:val="single" w:color="000000" w:sz="0"/>
              <w:left w:val="single" w:color="000000" w:sz="0"/>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Аудиоаппаратура, видеокамера, телефон. </w:t>
            </w:r>
          </w:p>
        </w:tc>
        <w:tc>
          <w:tcPr>
            <w:tcW w:w="3684" w:type="dxa"/>
            <w:tcBorders>
              <w:top w:val="single" w:color="000000" w:sz="0"/>
              <w:left w:val="single" w:color="000000" w:sz="0"/>
              <w:bottom w:val="single" w:color="000000" w:sz="8"/>
              <w:right w:val="single" w:color="000000" w:sz="8"/>
            </w:tcBorders>
            <w:shd w:color="auto" w:fill="ffffff" w:val="clear"/>
            <w:tcMar>
              <w:left w:w="102" w:type="dxa"/>
              <w:right w:w="102" w:type="dxa"/>
            </w:tcMar>
            <w:vAlign w:val="top"/>
          </w:tcPr>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Техническая группа</w:t>
            </w:r>
          </w:p>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технический специалист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ученик школы)</w:t>
            </w:r>
          </w:p>
        </w:tc>
      </w:tr>
    </w:tbl>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tbl>
      <w:tblPr/>
      <w:tblGrid>
        <w:gridCol w:w="2377"/>
        <w:gridCol w:w="3262"/>
        <w:gridCol w:w="3684"/>
      </w:tblGrid>
      <w:tr>
        <w:trPr>
          <w:trHeight w:val="840" w:hRule="auto"/>
          <w:jc w:val="left"/>
        </w:trPr>
        <w:tc>
          <w:tcPr>
            <w:tcW w:w="2377" w:type="dxa"/>
            <w:tcBorders>
              <w:top w:val="single" w:color="000000" w:sz="8"/>
              <w:left w:val="single" w:color="000000" w:sz="8"/>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Обеспечение комфорта</w:t>
            </w:r>
          </w:p>
        </w:tc>
        <w:tc>
          <w:tcPr>
            <w:tcW w:w="3262" w:type="dxa"/>
            <w:tcBorders>
              <w:top w:val="single" w:color="000000" w:sz="8"/>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Стулья в актовом зале, машины игрушечные.</w:t>
            </w:r>
          </w:p>
        </w:tc>
        <w:tc>
          <w:tcPr>
            <w:tcW w:w="3684" w:type="dxa"/>
            <w:tcBorders>
              <w:top w:val="single" w:color="000000" w:sz="8"/>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Организаторы</w:t>
            </w:r>
          </w:p>
        </w:tc>
      </w:tr>
      <w:tr>
        <w:trPr>
          <w:trHeight w:val="1250" w:hRule="auto"/>
          <w:jc w:val="left"/>
        </w:trPr>
        <w:tc>
          <w:tcPr>
            <w:tcW w:w="2377" w:type="dxa"/>
            <w:tcBorders>
              <w:top w:val="single" w:color="000000" w:sz="0"/>
              <w:left w:val="single" w:color="000000" w:sz="8"/>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Оформление зала</w:t>
            </w:r>
          </w:p>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декор)</w:t>
            </w:r>
          </w:p>
        </w:tc>
        <w:tc>
          <w:tcPr>
            <w:tcW w:w="3262" w:type="dxa"/>
            <w:tcBorders>
              <w:top w:val="single" w:color="000000" w:sz="0"/>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Выставочные стенды, рисунки и плакаты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Правила дорожного движения</w:t>
            </w:r>
            <w:r>
              <w:rPr>
                <w:rFonts w:ascii="Times New Roman" w:hAnsi="Times New Roman" w:cs="Times New Roman" w:eastAsia="Times New Roman"/>
                <w:color w:val="auto"/>
                <w:spacing w:val="0"/>
                <w:position w:val="0"/>
                <w:sz w:val="28"/>
                <w:shd w:fill="auto" w:val="clear"/>
              </w:rPr>
              <w:t xml:space="preserve">».</w:t>
            </w:r>
          </w:p>
        </w:tc>
        <w:tc>
          <w:tcPr>
            <w:tcW w:w="3684" w:type="dxa"/>
            <w:tcBorders>
              <w:top w:val="single" w:color="000000" w:sz="0"/>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совместно с родителями рисуют плакаты, оформляют помещение</w:t>
            </w:r>
          </w:p>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r>
      <w:tr>
        <w:trPr>
          <w:trHeight w:val="838" w:hRule="auto"/>
          <w:jc w:val="left"/>
        </w:trPr>
        <w:tc>
          <w:tcPr>
            <w:tcW w:w="2377" w:type="dxa"/>
            <w:tcBorders>
              <w:top w:val="single" w:color="000000" w:sz="0"/>
              <w:left w:val="single" w:color="000000" w:sz="8"/>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Музыкальное сопровождение</w:t>
            </w:r>
          </w:p>
        </w:tc>
        <w:tc>
          <w:tcPr>
            <w:tcW w:w="3262" w:type="dxa"/>
            <w:tcBorders>
              <w:top w:val="single" w:color="000000" w:sz="0"/>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Детские песни</w:t>
            </w:r>
          </w:p>
        </w:tc>
        <w:tc>
          <w:tcPr>
            <w:tcW w:w="3684" w:type="dxa"/>
            <w:tcBorders>
              <w:top w:val="single" w:color="000000" w:sz="0"/>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 по музыке, дети</w:t>
            </w:r>
          </w:p>
        </w:tc>
      </w:tr>
      <w:tr>
        <w:trPr>
          <w:trHeight w:val="1669" w:hRule="auto"/>
          <w:jc w:val="left"/>
        </w:trPr>
        <w:tc>
          <w:tcPr>
            <w:tcW w:w="2377" w:type="dxa"/>
            <w:tcBorders>
              <w:top w:val="single" w:color="000000" w:sz="0"/>
              <w:left w:val="single" w:color="000000" w:sz="8"/>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Информационное сопровождение</w:t>
            </w:r>
          </w:p>
        </w:tc>
        <w:tc>
          <w:tcPr>
            <w:tcW w:w="3262" w:type="dxa"/>
            <w:tcBorders>
              <w:top w:val="single" w:color="000000" w:sz="0"/>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Приглашение родителей на мероприятие</w:t>
            </w:r>
          </w:p>
        </w:tc>
        <w:tc>
          <w:tcPr>
            <w:tcW w:w="3684" w:type="dxa"/>
            <w:tcBorders>
              <w:top w:val="single" w:color="000000" w:sz="0"/>
              <w:left w:val="single" w:color="000000" w:sz="0"/>
              <w:bottom w:val="single" w:color="000000" w:sz="8"/>
              <w:right w:val="single" w:color="000000" w:sz="8"/>
            </w:tcBorders>
            <w:shd w:color="auto" w:fill="ffffff" w:val="clear"/>
            <w:tcMar>
              <w:left w:w="110" w:type="dxa"/>
              <w:right w:w="110"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Воспитатель</w:t>
            </w:r>
          </w:p>
        </w:tc>
      </w:tr>
    </w:tbl>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получили более полные знания о правилах для пешеходов и пассажиров. С правилами дорожного движения дети знакомятся на занятиях, прогулках и экскурсиях, а также в собственном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автогородке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котором обозначены перекрестки, тротуары, остановка транспорта, установлены светофоры, дорожные знаки.</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группе много настольных игр, которые сделаны руками детей совместно с родителями. В играх и развлечениях дети легко и быстро запоминают то, что может показаться им скучным и неинтересным.              Чтобы повысить интерес к дорожной азбуке, для детей проводились такие конкурсы, викторины, соревнования, развлечение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Безопасное колесо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досуг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Красный, желтый и зеленый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КВН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Азбука улиц и дорог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Очень много используется на занятии и в свободное от занятий время художественной  литературы: чтение книги О. Тарутина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чего нам светофор?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отрывок из книги Дорохова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Зеленый, желтый, красный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стихотворение Михалкова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улица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результатов целенаправленных наблюдений показывает, что у  дошкольников сформировано понимание значимости соблюдения правил дорожного движения. В результате осознанного использования знаний, умений, навыков у детей возникает ощущение социальной безопасности и эмоционального комфорта, формируются ценности здорового образа жизни.  </w:t>
      </w:r>
    </w:p>
    <w:p>
      <w:pPr>
        <w:spacing w:before="0" w:after="16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взаимодействия ребёнка с окружающей средой происходит становление и развитие личности, обеспечивается воспитание культурного, дисциплинированного участника дорожного движения. А главное отсутствие дорожно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транспортного травматизма среди детей. </w:t>
      </w:r>
    </w:p>
    <w:p>
      <w:pPr>
        <w:spacing w:before="0" w:after="16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w:t>
        <w:tab/>
        <w:t xml:space="preserve"> </w:t>
      </w:r>
      <w:r>
        <w:rPr>
          <w:rFonts w:ascii="Times New Roman" w:hAnsi="Times New Roman" w:cs="Times New Roman" w:eastAsia="Times New Roman"/>
          <w:b/>
          <w:color w:val="auto"/>
          <w:spacing w:val="0"/>
          <w:position w:val="0"/>
          <w:sz w:val="28"/>
          <w:shd w:fill="auto" w:val="clear"/>
        </w:rPr>
        <w:t xml:space="preserve">рекомендации по использованию методической разработки в практике работы педагогического работника, популяризирующего БДД.</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Проведенная  работа по обучению детей ПДД оправдала себя: дети получают знания в игровой форме, охотно включаются в ролевые игры, учатся моделированию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дорожных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ситуаций, решению логических задач и поиску верного решения.</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Результативность  работы подтверждается тем, что за все годы кропотливой работы по обучению детей правилам дорожного движения не было ни одного дорожно-транспортного происшествия, причиной которого было бы нарушение правил движения нашими воспитанниками.                Показателями эффективности нашей работы являются:</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знания детьми правил безопасного поведения на улицах и на дорогах (в соответствии с возрастом детей);</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умение ориентироваться в дорожных ситуациях.</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Каждому педагогу, которому доверено воспитание наших детей необходимо овладеть современным научно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педагогическими знаниями, основанными на практическом опыте и рекомендациях работников ГИБДД. Только тогда число дорожно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транспортных происшествий с участием детей значительно уменьшится.</w:t>
      </w:r>
    </w:p>
    <w:p>
      <w:pPr>
        <w:spacing w:before="0" w:after="16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5">
    <w:abstractNumId w:val="24"/>
  </w:num>
  <w:num w:numId="8">
    <w:abstractNumId w:val="18"/>
  </w:num>
  <w:num w:numId="11">
    <w:abstractNumId w:val="12"/>
  </w:num>
  <w:num w:numId="13">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