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«Времена года»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Паспорт проекта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воспитатели, музыкальный руководитель, дети подготовительной группы, родители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Сроки реализации проекта: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долгосрочный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год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Тип проекта: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познавательно-творческий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contextualSpacing/>
        <w:ind w:firstLine="851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Создание проекта «Времена года» продиктовано сложивше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йся педагогической реальностью 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молодые родители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слишком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заняты образованием детей в обучающих центрах и не считают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нужным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у детей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интерес и любовь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окружающему природному пространству. Прогулки часто сведены к пребыванию на детских площадках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рекреациях торговых центров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Дети не замечают природы, не умеют находи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ть с ней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общий язык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боят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ся её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проекта: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ормирование у детей системных знаний о временах года, приобщение к экологической культуре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 проекта: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contextualSpacing/>
        <w:ind w:hanging="1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бразовательные: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формирование у детей устойчивого интереса к миру природы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закрепление и систематизация знаний об объектах и явлениях природы, сезонных изменениях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обучение детей взаимодействию с природными объектами, культуре поведения в природе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закрепить умение  самостоятельно сочинять экологические сказки, составлять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загадки, придумывать небылицы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знакомство с нетрадиционными техниками изодеятельности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азвивающие: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азвивать внимание, память, мышление, эстетическое восприятие и  художественный вкус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азвивать у детей связную, диалогическую и монологическую речь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детей эмоциональное, положительное отношение к природе, умение видеть прекрасное в разное время года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ормирование эстетического восприятия окружающей природной действительности, желания и умения отражать полученные впечатления в художественно-эстетической деятельности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оспитательные: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оспитывать у детей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интерес и любовь к природе, 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ережное к ней отношение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природоохранного сознания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активной гражданской позиции защитника природы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Планируемые результаты: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сформировать: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устойчивый интерес к миру природы, закрепить и систематизировать знания об объектах и явлениях природы, сезонных изменениях;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культуру поведения детей в природе, природоохранное сознание;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умение видеть и подмечать научные и эстетические категории в статике и динамике природных явлений;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желание и умение отражать полученные впечатления в художественно-эстетической деятельности, словотворчестве (загадки, экологические сказки и т.д.);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pStyle w:val="750"/>
        <w:ind w:left="567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навыки связной речи, умение сравнивать, анализировать, обобщать, устанавливать причинно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-следственные связи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position w:val="1"/>
          <w:sz w:val="28"/>
          <w:szCs w:val="28"/>
        </w:rPr>
        <w:t xml:space="preserve">Этапы проекта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 этап.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Подготовительный: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разработка гипотезы, цели и задач проекта;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подбор метод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ического материала и литературы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 этап.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Основной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изация проекта): работа с детьми,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циалистами, родителями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III этап.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Заключительный: театрализованное представление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 гостях у Календарика»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овместные ито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говые выставки творческих работ, презентация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книги «Времена года»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результатов реализации проекта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contextualSpacing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 «Времена года»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призван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сформировать у детей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экологическую культуру, прочные знания о временах года, их периодичности и цикличности. Времена года рассматриваются в проекте не только с научной стороны, но и с художественной точки зрения.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подготовительного этапа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 проведен «Круглый стол» с педагогическим персоналом, на котором были определены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гипотеза, цель и задачи проекта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Было принято решение о совместной работе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воспитателей,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педагогов - специалистов ДОУ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полного охвата всех образовательных областей.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ыл разработан план реализации основной части проекта, подобран соответствующий методический материал, произведения литературы, живописи, музыкальный ряд. На этом этапе была проведена групповая консультация с родителями «Мир природы глазами ребёнка».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Реализация основного этапа была разбита на четыре блока: осень, зима, весна и лето. Каждый блок включал в себя: знакомство 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изменениями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природе, характерными для определённого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времени года, поведением животных и птиц,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народными приметами и праздниками. Наблюдения, целевые экскурсии, прогулки по экотропе,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путешествия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видоискателями, опытно-экспериментальная деятельность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на метеостанции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позволили детям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научи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подмечать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природные явления в динамике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отражать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свои впечатления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речи, таблицах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экологических сказках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художественно – эстетической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деятельности. Дети начали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рассматривать природу как источник знаний, красоты, эстетики и вдохновения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научились взаимодействовать с 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Специально подобранные музыкальные, литературные, живописные произведения, сопровождающие каждый блок проекта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познакомили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детей с творчеством великих русских художников, поэтов, писателей и композиторов, но и создали в сознании детей законченную картину, позволили глубоко почувствовать красоту и мощь ру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сской природы, помогли понять, полюбить её. Отдельно дети познакомились с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овременным искусством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пейзажной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фотографией, воспевающей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красоту родного края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разные времена года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Каждый блок заканчивался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итоговым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мероприятием: выставкой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совместных с родителями работ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(поделок, кормушек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спектаклем (по мотивам сказки Г.Х. Андерсена «Снежная Королева»), посадкой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«огорода на окне», озеленением территории ДОУ, посадкой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цветочных клумб,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созданием природоохранных знаков,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подшивкой детских рисунков по временам года.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ind w:firstLine="708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Заключительным этапом и финальным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мероприятием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проекта стало театрализованное представление «В гостях у Календарика»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(по мотивам сказки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-пьесы С. Маршака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«Двенадцать месяцев»)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все роли исполняли дети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презентация книги 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творческими работами детей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«Времена года»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ind w:firstLine="708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реализации проектной деятельности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показателей психолого-педагогической диагностики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детей данной 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руппы показал качественное и количественное улучшение показателей усвоения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программы.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ind w:firstLine="708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ind w:firstLine="708"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роект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«Времена года»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охватывает все стороны жизни ДОУ, все образовательные области. В нем в соответствии с требованиями ФГОС учтены: направленность на развитие личности ребёнка, нравственное воспитание, патриотизм, подде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ржку традиционных ценностей, нацеленность на дальнейшее образование, направленность на сохранение и укрепление здоровья детей, в ходе разворачивания проекта учитывались индивидуальные особенности и потребности детей, взаимодействие с семьями воспитанников.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contextualSpacing/>
        <w:jc w:val="both"/>
        <w:spacing w:line="360" w:lineRule="auto"/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 xml:space="preserve">писок литературы: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</w:r>
    </w:p>
    <w:p>
      <w:pPr>
        <w:jc w:val="both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Машкова, С. В. Познавательно-исследовательские занятия с детьми 5-7 лет на экологич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еской тропе / С.В. Машкова, др.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М.: Учитель, 2014. - 188 c.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Николаева, С. Н. Приобщение дошкольников к природе в детском саду и дома / С.Н. Николаева. - М.: Мозаика-Синтез, 2013. - 120 c.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</w:p>
    <w:p>
      <w:pPr>
        <w:jc w:val="both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рождения до школы. Основная общеобразовательная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Т.С. Комарова [и др.]; под общ. ред. Н. Е. Вераксы - М.: Мозаика-синтез, 2017, 368 с.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  <w:tabs>
          <w:tab w:val="num" w:pos="502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"/>
      <w:lvlJc w:val="left"/>
      <w:pPr>
        <w:ind w:left="1222" w:hanging="360"/>
        <w:tabs>
          <w:tab w:val="num" w:pos="1222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ind w:left="1942" w:hanging="360"/>
        <w:tabs>
          <w:tab w:val="num" w:pos="1942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ind w:left="2662" w:hanging="360"/>
        <w:tabs>
          <w:tab w:val="num" w:pos="2662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ind w:left="3382" w:hanging="360"/>
        <w:tabs>
          <w:tab w:val="num" w:pos="3382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ind w:left="4102" w:hanging="360"/>
        <w:tabs>
          <w:tab w:val="num" w:pos="4102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ind w:left="4822" w:hanging="360"/>
        <w:tabs>
          <w:tab w:val="num" w:pos="4822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ind w:left="5542" w:hanging="360"/>
        <w:tabs>
          <w:tab w:val="num" w:pos="5542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ind w:left="6262" w:hanging="360"/>
        <w:tabs>
          <w:tab w:val="num" w:pos="6262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  <w:tabs>
          <w:tab w:val="num" w:pos="106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"/>
      <w:lvlJc w:val="left"/>
      <w:pPr>
        <w:ind w:left="1789" w:hanging="360"/>
        <w:tabs>
          <w:tab w:val="num" w:pos="1789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ind w:left="2509" w:hanging="360"/>
        <w:tabs>
          <w:tab w:val="num" w:pos="250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ind w:left="3229" w:hanging="360"/>
        <w:tabs>
          <w:tab w:val="num" w:pos="3229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ind w:left="3949" w:hanging="360"/>
        <w:tabs>
          <w:tab w:val="num" w:pos="3949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ind w:left="4669" w:hanging="360"/>
        <w:tabs>
          <w:tab w:val="num" w:pos="466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ind w:left="5389" w:hanging="360"/>
        <w:tabs>
          <w:tab w:val="num" w:pos="5389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ind w:left="6109" w:hanging="360"/>
        <w:tabs>
          <w:tab w:val="num" w:pos="6109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ind w:left="6829" w:hanging="360"/>
        <w:tabs>
          <w:tab w:val="num" w:pos="6829" w:leader="none"/>
        </w:tabs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1069" w:hanging="360"/>
        <w:tabs>
          <w:tab w:val="num" w:pos="1069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"/>
      <w:lvlJc w:val="left"/>
      <w:pPr>
        <w:ind w:left="1789" w:hanging="360"/>
        <w:tabs>
          <w:tab w:val="num" w:pos="1789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ind w:left="2509" w:hanging="360"/>
        <w:tabs>
          <w:tab w:val="num" w:pos="250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ind w:left="3229" w:hanging="360"/>
        <w:tabs>
          <w:tab w:val="num" w:pos="3229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ind w:left="3949" w:hanging="360"/>
        <w:tabs>
          <w:tab w:val="num" w:pos="3949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ind w:left="4669" w:hanging="360"/>
        <w:tabs>
          <w:tab w:val="num" w:pos="466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ind w:left="5389" w:hanging="360"/>
        <w:tabs>
          <w:tab w:val="num" w:pos="5389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ind w:left="6109" w:hanging="360"/>
        <w:tabs>
          <w:tab w:val="num" w:pos="6109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ind w:left="6829" w:hanging="360"/>
        <w:tabs>
          <w:tab w:val="num" w:pos="6829" w:leader="none"/>
        </w:tabs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  <w:tabs>
          <w:tab w:val="num" w:pos="106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"/>
      <w:lvlJc w:val="left"/>
      <w:pPr>
        <w:ind w:left="1789" w:hanging="360"/>
        <w:tabs>
          <w:tab w:val="num" w:pos="1789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ind w:left="2509" w:hanging="360"/>
        <w:tabs>
          <w:tab w:val="num" w:pos="250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ind w:left="3229" w:hanging="360"/>
        <w:tabs>
          <w:tab w:val="num" w:pos="3229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ind w:left="3949" w:hanging="360"/>
        <w:tabs>
          <w:tab w:val="num" w:pos="3949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ind w:left="4669" w:hanging="360"/>
        <w:tabs>
          <w:tab w:val="num" w:pos="466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ind w:left="5389" w:hanging="360"/>
        <w:tabs>
          <w:tab w:val="num" w:pos="5389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ind w:left="6109" w:hanging="360"/>
        <w:tabs>
          <w:tab w:val="num" w:pos="6109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ind w:left="6829" w:hanging="360"/>
        <w:tabs>
          <w:tab w:val="num" w:pos="6829" w:leader="none"/>
        </w:tabs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2"/>
  </w:num>
  <w:num w:numId="2">
    <w:abstractNumId w:val="4"/>
  </w:num>
  <w:num w:numId="3">
    <w:abstractNumId w:val="19"/>
  </w:num>
  <w:num w:numId="4">
    <w:abstractNumId w:val="7"/>
  </w:num>
  <w:num w:numId="5">
    <w:abstractNumId w:val="8"/>
  </w:num>
  <w:num w:numId="6">
    <w:abstractNumId w:val="31"/>
  </w:num>
  <w:num w:numId="7">
    <w:abstractNumId w:val="3"/>
  </w:num>
  <w:num w:numId="8">
    <w:abstractNumId w:val="29"/>
  </w:num>
  <w:num w:numId="9">
    <w:abstractNumId w:val="2"/>
  </w:num>
  <w:num w:numId="10">
    <w:abstractNumId w:val="16"/>
  </w:num>
  <w:num w:numId="11">
    <w:abstractNumId w:val="14"/>
  </w:num>
  <w:num w:numId="12">
    <w:abstractNumId w:val="35"/>
  </w:num>
  <w:num w:numId="13">
    <w:abstractNumId w:val="28"/>
  </w:num>
  <w:num w:numId="14">
    <w:abstractNumId w:val="12"/>
  </w:num>
  <w:num w:numId="15">
    <w:abstractNumId w:val="39"/>
  </w:num>
  <w:num w:numId="16">
    <w:abstractNumId w:val="26"/>
  </w:num>
  <w:num w:numId="17">
    <w:abstractNumId w:val="21"/>
  </w:num>
  <w:num w:numId="18">
    <w:abstractNumId w:val="11"/>
  </w:num>
  <w:num w:numId="19">
    <w:abstractNumId w:val="38"/>
  </w:num>
  <w:num w:numId="20">
    <w:abstractNumId w:val="23"/>
  </w:num>
  <w:num w:numId="21">
    <w:abstractNumId w:val="1"/>
  </w:num>
  <w:num w:numId="22">
    <w:abstractNumId w:val="45"/>
  </w:num>
  <w:num w:numId="23">
    <w:abstractNumId w:val="22"/>
  </w:num>
  <w:num w:numId="24">
    <w:abstractNumId w:val="17"/>
  </w:num>
  <w:num w:numId="25">
    <w:abstractNumId w:val="40"/>
  </w:num>
  <w:num w:numId="26">
    <w:abstractNumId w:val="43"/>
  </w:num>
  <w:num w:numId="27">
    <w:abstractNumId w:val="24"/>
  </w:num>
  <w:num w:numId="28">
    <w:abstractNumId w:val="36"/>
  </w:num>
  <w:num w:numId="29">
    <w:abstractNumId w:val="34"/>
  </w:num>
  <w:num w:numId="30">
    <w:abstractNumId w:val="6"/>
  </w:num>
  <w:num w:numId="31">
    <w:abstractNumId w:val="25"/>
  </w:num>
  <w:num w:numId="32">
    <w:abstractNumId w:val="44"/>
  </w:num>
  <w:num w:numId="33">
    <w:abstractNumId w:val="33"/>
  </w:num>
  <w:num w:numId="34">
    <w:abstractNumId w:val="13"/>
  </w:num>
  <w:num w:numId="35">
    <w:abstractNumId w:val="41"/>
  </w:num>
  <w:num w:numId="36">
    <w:abstractNumId w:val="30"/>
  </w:num>
  <w:num w:numId="37">
    <w:abstractNumId w:val="27"/>
  </w:num>
  <w:num w:numId="38">
    <w:abstractNumId w:val="5"/>
  </w:num>
  <w:num w:numId="39">
    <w:abstractNumId w:val="18"/>
  </w:num>
  <w:num w:numId="40">
    <w:abstractNumId w:val="0"/>
  </w:num>
  <w:num w:numId="41">
    <w:abstractNumId w:val="15"/>
  </w:num>
  <w:num w:numId="42">
    <w:abstractNumId w:val="37"/>
  </w:num>
  <w:num w:numId="43">
    <w:abstractNumId w:val="20"/>
  </w:num>
  <w:num w:numId="44">
    <w:abstractNumId w:val="42"/>
  </w:num>
  <w:num w:numId="45">
    <w:abstractNumId w:val="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7"/>
    <w:link w:val="74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45"/>
    <w:next w:val="74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4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45"/>
    <w:next w:val="74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4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45"/>
    <w:next w:val="74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4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45"/>
    <w:next w:val="74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4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5"/>
    <w:next w:val="74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4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5"/>
    <w:next w:val="74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5"/>
    <w:next w:val="7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5"/>
    <w:next w:val="7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45"/>
    <w:next w:val="74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47"/>
    <w:link w:val="34"/>
    <w:uiPriority w:val="10"/>
    <w:rPr>
      <w:sz w:val="48"/>
      <w:szCs w:val="48"/>
    </w:rPr>
  </w:style>
  <w:style w:type="paragraph" w:styleId="36">
    <w:name w:val="Subtitle"/>
    <w:basedOn w:val="745"/>
    <w:next w:val="74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47"/>
    <w:link w:val="36"/>
    <w:uiPriority w:val="11"/>
    <w:rPr>
      <w:sz w:val="24"/>
      <w:szCs w:val="24"/>
    </w:rPr>
  </w:style>
  <w:style w:type="paragraph" w:styleId="38">
    <w:name w:val="Quote"/>
    <w:basedOn w:val="745"/>
    <w:next w:val="7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5"/>
    <w:next w:val="7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7"/>
    <w:link w:val="755"/>
    <w:uiPriority w:val="99"/>
  </w:style>
  <w:style w:type="character" w:styleId="45">
    <w:name w:val="Footer Char"/>
    <w:basedOn w:val="747"/>
    <w:link w:val="757"/>
    <w:uiPriority w:val="99"/>
  </w:style>
  <w:style w:type="paragraph" w:styleId="46">
    <w:name w:val="Caption"/>
    <w:basedOn w:val="745"/>
    <w:next w:val="7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7"/>
    <w:uiPriority w:val="99"/>
  </w:style>
  <w:style w:type="table" w:styleId="48">
    <w:name w:val="Table Grid"/>
    <w:basedOn w:val="7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47"/>
    <w:uiPriority w:val="99"/>
    <w:unhideWhenUsed/>
    <w:rPr>
      <w:vertAlign w:val="superscript"/>
    </w:rPr>
  </w:style>
  <w:style w:type="paragraph" w:styleId="178">
    <w:name w:val="endnote text"/>
    <w:basedOn w:val="7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7"/>
    <w:uiPriority w:val="99"/>
    <w:semiHidden/>
    <w:unhideWhenUsed/>
    <w:rPr>
      <w:vertAlign w:val="superscript"/>
    </w:rPr>
  </w:style>
  <w:style w:type="paragraph" w:styleId="181">
    <w:name w:val="toc 1"/>
    <w:basedOn w:val="745"/>
    <w:next w:val="7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45"/>
    <w:next w:val="7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45"/>
    <w:next w:val="7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45"/>
    <w:next w:val="7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45"/>
    <w:next w:val="7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45"/>
    <w:next w:val="7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45"/>
    <w:next w:val="7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45"/>
    <w:next w:val="7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45"/>
    <w:next w:val="7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45"/>
    <w:next w:val="745"/>
    <w:uiPriority w:val="99"/>
    <w:unhideWhenUsed/>
    <w:pPr>
      <w:spacing w:after="0" w:afterAutospacing="0"/>
    </w:pPr>
  </w:style>
  <w:style w:type="paragraph" w:styleId="745" w:default="1">
    <w:name w:val="Normal"/>
    <w:qFormat/>
  </w:style>
  <w:style w:type="paragraph" w:styleId="746">
    <w:name w:val="Heading 1"/>
    <w:basedOn w:val="745"/>
    <w:link w:val="752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paragraph" w:styleId="750">
    <w:name w:val="List Paragraph"/>
    <w:basedOn w:val="745"/>
    <w:uiPriority w:val="34"/>
    <w:qFormat/>
    <w:pPr>
      <w:contextualSpacing/>
      <w:ind w:left="720"/>
    </w:pPr>
  </w:style>
  <w:style w:type="paragraph" w:styleId="751">
    <w:name w:val="Normal (Web)"/>
    <w:basedOn w:val="74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styleId="752" w:customStyle="1">
    <w:name w:val="Заголовок 1 Знак"/>
    <w:basedOn w:val="747"/>
    <w:link w:val="74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753">
    <w:name w:val="Balloon Text"/>
    <w:basedOn w:val="745"/>
    <w:link w:val="75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54" w:customStyle="1">
    <w:name w:val="Текст выноски Знак"/>
    <w:basedOn w:val="747"/>
    <w:link w:val="753"/>
    <w:uiPriority w:val="99"/>
    <w:semiHidden/>
    <w:rPr>
      <w:rFonts w:ascii="Tahoma" w:hAnsi="Tahoma" w:cs="Tahoma"/>
      <w:sz w:val="16"/>
      <w:szCs w:val="16"/>
    </w:rPr>
  </w:style>
  <w:style w:type="paragraph" w:styleId="755">
    <w:name w:val="Header"/>
    <w:basedOn w:val="745"/>
    <w:link w:val="75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6" w:customStyle="1">
    <w:name w:val="Верхний колонтитул Знак"/>
    <w:basedOn w:val="747"/>
    <w:link w:val="755"/>
    <w:uiPriority w:val="99"/>
  </w:style>
  <w:style w:type="paragraph" w:styleId="757">
    <w:name w:val="Footer"/>
    <w:basedOn w:val="745"/>
    <w:link w:val="75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8" w:customStyle="1">
    <w:name w:val="Нижний колонтитул Знак"/>
    <w:basedOn w:val="747"/>
    <w:link w:val="757"/>
    <w:uiPriority w:val="99"/>
    <w:semiHidden/>
  </w:style>
  <w:style w:type="paragraph" w:styleId="759" w:customStyle="1">
    <w:name w:val="Paragraph Style"/>
    <w:pPr>
      <w:spacing w:after="0"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paragraph" w:styleId="76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DB3B-2605-49CE-8A8E-025C09B6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роект по экологическому воспитанию «Времена года»                         Воспитатель Фирсова С.С.</dc:title>
  <dc:creator>Юля</dc:creator>
  <cp:lastModifiedBy>равиль инсапов</cp:lastModifiedBy>
  <cp:revision>132</cp:revision>
  <dcterms:created xsi:type="dcterms:W3CDTF">2017-09-19T14:05:00Z</dcterms:created>
  <dcterms:modified xsi:type="dcterms:W3CDTF">2024-04-09T13:24:19Z</dcterms:modified>
</cp:coreProperties>
</file>