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058" w:rsidRPr="00FC2058" w:rsidRDefault="006400A5" w:rsidP="00FC2058">
      <w:pPr>
        <w:pStyle w:val="a3"/>
        <w:spacing w:line="360" w:lineRule="auto"/>
        <w:jc w:val="center"/>
        <w:rPr>
          <w:rFonts w:ascii="Times New Roman" w:hAnsi="Times New Roman"/>
          <w:b/>
          <w:sz w:val="28"/>
          <w:szCs w:val="28"/>
        </w:rPr>
      </w:pPr>
      <w:r>
        <w:rPr>
          <w:rFonts w:ascii="Times New Roman" w:hAnsi="Times New Roman"/>
          <w:b/>
          <w:sz w:val="28"/>
          <w:szCs w:val="28"/>
        </w:rPr>
        <w:t>Ф</w:t>
      </w:r>
      <w:r w:rsidRPr="00FC2058">
        <w:rPr>
          <w:rFonts w:ascii="Times New Roman" w:hAnsi="Times New Roman"/>
          <w:b/>
          <w:sz w:val="28"/>
          <w:szCs w:val="28"/>
        </w:rPr>
        <w:t xml:space="preserve">разеология библейского происхождения </w:t>
      </w:r>
    </w:p>
    <w:p w:rsidR="00FC2058" w:rsidRPr="00FC2058" w:rsidRDefault="006400A5" w:rsidP="00FC2058">
      <w:pPr>
        <w:pStyle w:val="a3"/>
        <w:spacing w:line="360" w:lineRule="auto"/>
        <w:jc w:val="center"/>
        <w:rPr>
          <w:rFonts w:ascii="Times New Roman" w:hAnsi="Times New Roman"/>
          <w:b/>
          <w:sz w:val="28"/>
          <w:szCs w:val="28"/>
        </w:rPr>
      </w:pPr>
      <w:r w:rsidRPr="00FC2058">
        <w:rPr>
          <w:rFonts w:ascii="Times New Roman" w:hAnsi="Times New Roman"/>
          <w:b/>
          <w:sz w:val="28"/>
          <w:szCs w:val="28"/>
        </w:rPr>
        <w:t>в английском и русском языках</w:t>
      </w:r>
    </w:p>
    <w:p w:rsidR="00FC2058" w:rsidRPr="00FC2058" w:rsidRDefault="00FC2058" w:rsidP="00FC2058">
      <w:pPr>
        <w:pStyle w:val="a3"/>
        <w:spacing w:line="360" w:lineRule="auto"/>
        <w:jc w:val="center"/>
        <w:rPr>
          <w:rFonts w:ascii="Times New Roman" w:hAnsi="Times New Roman"/>
          <w:b/>
          <w:sz w:val="28"/>
          <w:szCs w:val="28"/>
        </w:rPr>
      </w:pP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Священное Писание – неиссякаемый источник пополнения фразеологического состава многих языков, в том числе и английского, русского, благодаря смысловой глубине и неисчерпаемости сакрального текста, а также неоценимой значимости и эстетической важности библейской образности и символики.</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 xml:space="preserve">При изучении этимологического происхождения </w:t>
      </w:r>
      <w:proofErr w:type="spellStart"/>
      <w:r w:rsidRPr="00FC2058">
        <w:rPr>
          <w:rFonts w:ascii="Times New Roman" w:eastAsia="Times New Roman" w:hAnsi="Times New Roman"/>
          <w:sz w:val="28"/>
          <w:szCs w:val="28"/>
          <w:lang w:eastAsia="ru-RU"/>
        </w:rPr>
        <w:t>библеизмов</w:t>
      </w:r>
      <w:proofErr w:type="spellEnd"/>
      <w:r w:rsidRPr="00FC2058">
        <w:rPr>
          <w:rFonts w:ascii="Times New Roman" w:eastAsia="Times New Roman" w:hAnsi="Times New Roman"/>
          <w:sz w:val="28"/>
          <w:szCs w:val="28"/>
          <w:lang w:eastAsia="ru-RU"/>
        </w:rPr>
        <w:t xml:space="preserve">, процессов заимствования фразеологических единиц и их адаптации в русском и английском языках выявлено, что идиоматические выражения, которые зарегистрированы в современных европейских языках, демонстрируют тот факт, что большое количество таких единиц </w:t>
      </w:r>
      <w:proofErr w:type="spellStart"/>
      <w:r w:rsidRPr="00FC2058">
        <w:rPr>
          <w:rFonts w:ascii="Times New Roman" w:eastAsia="Times New Roman" w:hAnsi="Times New Roman"/>
          <w:sz w:val="28"/>
          <w:szCs w:val="28"/>
          <w:lang w:eastAsia="ru-RU"/>
        </w:rPr>
        <w:t>взаимопереводимы</w:t>
      </w:r>
      <w:proofErr w:type="spellEnd"/>
      <w:r w:rsidRPr="00FC2058">
        <w:rPr>
          <w:rFonts w:ascii="Times New Roman" w:eastAsia="Times New Roman" w:hAnsi="Times New Roman"/>
          <w:sz w:val="28"/>
          <w:szCs w:val="28"/>
          <w:lang w:eastAsia="ru-RU"/>
        </w:rPr>
        <w:t xml:space="preserve"> и </w:t>
      </w:r>
      <w:proofErr w:type="spellStart"/>
      <w:r w:rsidRPr="00FC2058">
        <w:rPr>
          <w:rFonts w:ascii="Times New Roman" w:eastAsia="Times New Roman" w:hAnsi="Times New Roman"/>
          <w:sz w:val="28"/>
          <w:szCs w:val="28"/>
          <w:lang w:eastAsia="ru-RU"/>
        </w:rPr>
        <w:t>взаимопонятны</w:t>
      </w:r>
      <w:proofErr w:type="spellEnd"/>
      <w:r w:rsidRPr="00FC2058">
        <w:rPr>
          <w:rFonts w:ascii="Times New Roman" w:eastAsia="Times New Roman" w:hAnsi="Times New Roman"/>
          <w:sz w:val="28"/>
          <w:szCs w:val="28"/>
          <w:lang w:eastAsia="ru-RU"/>
        </w:rPr>
        <w:t xml:space="preserve"> носителям соответствующих языков благодаря общему источнику. Иными словами, </w:t>
      </w:r>
      <w:proofErr w:type="spellStart"/>
      <w:r w:rsidRPr="00FC2058">
        <w:rPr>
          <w:rFonts w:ascii="Times New Roman" w:eastAsia="Times New Roman" w:hAnsi="Times New Roman"/>
          <w:sz w:val="28"/>
          <w:szCs w:val="28"/>
          <w:lang w:eastAsia="ru-RU"/>
        </w:rPr>
        <w:t>библеизмы</w:t>
      </w:r>
      <w:proofErr w:type="spellEnd"/>
      <w:r w:rsidRPr="00FC2058">
        <w:rPr>
          <w:rFonts w:ascii="Times New Roman" w:eastAsia="Times New Roman" w:hAnsi="Times New Roman"/>
          <w:sz w:val="28"/>
          <w:szCs w:val="28"/>
          <w:lang w:eastAsia="ru-RU"/>
        </w:rPr>
        <w:t xml:space="preserve"> являются не только национальным, но и общеевропейским, общемировым достоянием.</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Сопоставляя фразеологизмы библейского происхождения в русском и английском языках, нужно учитывать некоторые универсальные и уникальные типологические черты этих фразеологических единиц в каждом из языков.</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Анализируя семантическую структуру библейских фразеологизмов, нужно обращать внимание на то, что главной чертой фразеологических единиц библейского происхождения является то, что фразеологизм способен вновь и вновь быть соотнесен с новым предметом или явлением, а также дать другой оттенок смысла.</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 xml:space="preserve">Учитывать при переводе </w:t>
      </w:r>
      <w:proofErr w:type="spellStart"/>
      <w:r w:rsidRPr="00FC2058">
        <w:rPr>
          <w:rFonts w:ascii="Times New Roman" w:eastAsia="Times New Roman" w:hAnsi="Times New Roman"/>
          <w:sz w:val="28"/>
          <w:szCs w:val="28"/>
          <w:lang w:eastAsia="ru-RU"/>
        </w:rPr>
        <w:t>библеизмов</w:t>
      </w:r>
      <w:proofErr w:type="spellEnd"/>
      <w:r w:rsidRPr="00FC2058">
        <w:rPr>
          <w:rFonts w:ascii="Times New Roman" w:eastAsia="Times New Roman" w:hAnsi="Times New Roman"/>
          <w:sz w:val="28"/>
          <w:szCs w:val="28"/>
          <w:lang w:eastAsia="ru-RU"/>
        </w:rPr>
        <w:t xml:space="preserve"> тот факт, что полисемия фразеологизмов библейского происхождения в большинстве своем основана на том факте, что благодаря Библии </w:t>
      </w:r>
      <w:proofErr w:type="gramStart"/>
      <w:r w:rsidRPr="00FC2058">
        <w:rPr>
          <w:rFonts w:ascii="Times New Roman" w:eastAsia="Times New Roman" w:hAnsi="Times New Roman"/>
          <w:sz w:val="28"/>
          <w:szCs w:val="28"/>
          <w:lang w:eastAsia="ru-RU"/>
        </w:rPr>
        <w:t>в</w:t>
      </w:r>
      <w:proofErr w:type="gramEnd"/>
      <w:r w:rsidRPr="00FC2058">
        <w:rPr>
          <w:rFonts w:ascii="Times New Roman" w:eastAsia="Times New Roman" w:hAnsi="Times New Roman"/>
          <w:sz w:val="28"/>
          <w:szCs w:val="28"/>
          <w:lang w:eastAsia="ru-RU"/>
        </w:rPr>
        <w:t xml:space="preserve"> фразеологических единицах в английском языке существует впечатляющее количество выражений, которые при соотнесении с различными объектами могут давать различные </w:t>
      </w:r>
      <w:r w:rsidRPr="00FC2058">
        <w:rPr>
          <w:rFonts w:ascii="Times New Roman" w:eastAsia="Times New Roman" w:hAnsi="Times New Roman"/>
          <w:sz w:val="28"/>
          <w:szCs w:val="28"/>
          <w:lang w:eastAsia="ru-RU"/>
        </w:rPr>
        <w:lastRenderedPageBreak/>
        <w:t>смысловые оттенки, а также те, которые необходимо считать метафорическими символами и воспринимать как словесный знак, передающий сущность какого-либо явления.</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proofErr w:type="gramStart"/>
      <w:r w:rsidRPr="00FC2058">
        <w:rPr>
          <w:rFonts w:ascii="Times New Roman" w:eastAsia="Times New Roman" w:hAnsi="Times New Roman"/>
          <w:sz w:val="28"/>
          <w:szCs w:val="28"/>
          <w:lang w:eastAsia="ru-RU"/>
        </w:rPr>
        <w:t xml:space="preserve">Рассматривая вопросы синонимии и антонимии, следует учитывать недостаточную распространенность этих категорий среди библейских фразеологизмов, что можно считать свидетельством того, что каждая фразеологическая единица имеет свою этимологическую основу, которая помогает схожим фразеологизмам иметь свои уникальные семантические оттенки, а одной из главных функций </w:t>
      </w:r>
      <w:proofErr w:type="spellStart"/>
      <w:r w:rsidRPr="00FC2058">
        <w:rPr>
          <w:rFonts w:ascii="Times New Roman" w:eastAsia="Times New Roman" w:hAnsi="Times New Roman"/>
          <w:sz w:val="28"/>
          <w:szCs w:val="28"/>
          <w:lang w:eastAsia="ru-RU"/>
        </w:rPr>
        <w:t>библеизмов</w:t>
      </w:r>
      <w:proofErr w:type="spellEnd"/>
      <w:r w:rsidRPr="00FC2058">
        <w:rPr>
          <w:rFonts w:ascii="Times New Roman" w:eastAsia="Times New Roman" w:hAnsi="Times New Roman"/>
          <w:sz w:val="28"/>
          <w:szCs w:val="28"/>
          <w:lang w:eastAsia="ru-RU"/>
        </w:rPr>
        <w:t xml:space="preserve"> является определение различных объектов, в отличии с противопоставлением одного объекта или явления другому и созданием антонимичных пар.</w:t>
      </w:r>
      <w:proofErr w:type="gramEnd"/>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 xml:space="preserve">Не забывать, что </w:t>
      </w:r>
      <w:proofErr w:type="spellStart"/>
      <w:r w:rsidRPr="00FC2058">
        <w:rPr>
          <w:rFonts w:ascii="Times New Roman" w:eastAsia="Times New Roman" w:hAnsi="Times New Roman"/>
          <w:sz w:val="28"/>
          <w:szCs w:val="28"/>
          <w:lang w:eastAsia="ru-RU"/>
        </w:rPr>
        <w:t>библеизмы</w:t>
      </w:r>
      <w:proofErr w:type="spellEnd"/>
      <w:r w:rsidRPr="00FC2058">
        <w:rPr>
          <w:rFonts w:ascii="Times New Roman" w:eastAsia="Times New Roman" w:hAnsi="Times New Roman"/>
          <w:sz w:val="28"/>
          <w:szCs w:val="28"/>
          <w:lang w:eastAsia="ru-RU"/>
        </w:rPr>
        <w:t xml:space="preserve"> – это значимая часть фразеологии. А изучение фразеологии – неотъемлемая часть в изучении и усвоении языка, а также в повышении культуры речи. Ведь резонное и удачное использование </w:t>
      </w:r>
      <w:proofErr w:type="spellStart"/>
      <w:r w:rsidRPr="00FC2058">
        <w:rPr>
          <w:rFonts w:ascii="Times New Roman" w:eastAsia="Times New Roman" w:hAnsi="Times New Roman"/>
          <w:sz w:val="28"/>
          <w:szCs w:val="28"/>
          <w:lang w:eastAsia="ru-RU"/>
        </w:rPr>
        <w:t>библеизмов</w:t>
      </w:r>
      <w:proofErr w:type="spellEnd"/>
      <w:r w:rsidRPr="00FC2058">
        <w:rPr>
          <w:rFonts w:ascii="Times New Roman" w:eastAsia="Times New Roman" w:hAnsi="Times New Roman"/>
          <w:sz w:val="28"/>
          <w:szCs w:val="28"/>
          <w:lang w:eastAsia="ru-RU"/>
        </w:rPr>
        <w:t xml:space="preserve"> придает речи своеобразие, эмоциональность, образность.</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 xml:space="preserve">Изучать библейские фразеологизмы очень важно и для развития языкознания, и для качественных переводов текстов. Ведь при переводе всегда нужно учитывать, что </w:t>
      </w:r>
      <w:proofErr w:type="spellStart"/>
      <w:r w:rsidRPr="00FC2058">
        <w:rPr>
          <w:rFonts w:ascii="Times New Roman" w:eastAsia="Times New Roman" w:hAnsi="Times New Roman"/>
          <w:sz w:val="28"/>
          <w:szCs w:val="28"/>
          <w:lang w:eastAsia="ru-RU"/>
        </w:rPr>
        <w:t>библеизмы</w:t>
      </w:r>
      <w:proofErr w:type="spellEnd"/>
      <w:r w:rsidRPr="00FC2058">
        <w:rPr>
          <w:rFonts w:ascii="Times New Roman" w:eastAsia="Times New Roman" w:hAnsi="Times New Roman"/>
          <w:sz w:val="28"/>
          <w:szCs w:val="28"/>
          <w:lang w:eastAsia="ru-RU"/>
        </w:rPr>
        <w:t xml:space="preserve"> часто не совпадают по своему лексическому составу, морфологической и синтаксической структуре.</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 xml:space="preserve">Помнить при переводе </w:t>
      </w:r>
      <w:proofErr w:type="spellStart"/>
      <w:r w:rsidRPr="00FC2058">
        <w:rPr>
          <w:rFonts w:ascii="Times New Roman" w:eastAsia="Times New Roman" w:hAnsi="Times New Roman"/>
          <w:sz w:val="28"/>
          <w:szCs w:val="28"/>
          <w:lang w:eastAsia="ru-RU"/>
        </w:rPr>
        <w:t>библеизмов</w:t>
      </w:r>
      <w:proofErr w:type="spellEnd"/>
      <w:r w:rsidRPr="00FC2058">
        <w:rPr>
          <w:rFonts w:ascii="Times New Roman" w:eastAsia="Times New Roman" w:hAnsi="Times New Roman"/>
          <w:sz w:val="28"/>
          <w:szCs w:val="28"/>
          <w:lang w:eastAsia="ru-RU"/>
        </w:rPr>
        <w:t xml:space="preserve"> о том, что среди таких фразеологических единиц выделяется значительное число полных эквивалентов, большой пласт фразеологизмов библейского происхождения характеризуется тем, что имеет общее значение, образ, лексический состав и структуру, то есть представляет собой частичные эквиваленты. </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 xml:space="preserve">Обратить внимание при переводе на группу фразеологических единиц, в которой английские </w:t>
      </w:r>
      <w:proofErr w:type="spellStart"/>
      <w:r w:rsidRPr="00FC2058">
        <w:rPr>
          <w:rFonts w:ascii="Times New Roman" w:eastAsia="Times New Roman" w:hAnsi="Times New Roman"/>
          <w:sz w:val="28"/>
          <w:szCs w:val="28"/>
          <w:lang w:eastAsia="ru-RU"/>
        </w:rPr>
        <w:t>библеизмы</w:t>
      </w:r>
      <w:proofErr w:type="spellEnd"/>
      <w:r w:rsidRPr="00FC2058">
        <w:rPr>
          <w:rFonts w:ascii="Times New Roman" w:eastAsia="Times New Roman" w:hAnsi="Times New Roman"/>
          <w:sz w:val="28"/>
          <w:szCs w:val="28"/>
          <w:lang w:eastAsia="ru-RU"/>
        </w:rPr>
        <w:t xml:space="preserve"> не имеют эквивалентов в современном русском языке (библейские прототипы прижились только в английском языке). Именно эта группа составляет большую и самую сложную для перевода группу. </w:t>
      </w:r>
      <w:proofErr w:type="spellStart"/>
      <w:r w:rsidRPr="00FC2058">
        <w:rPr>
          <w:rFonts w:ascii="Times New Roman" w:eastAsia="Times New Roman" w:hAnsi="Times New Roman"/>
          <w:sz w:val="28"/>
          <w:szCs w:val="28"/>
          <w:lang w:eastAsia="ru-RU"/>
        </w:rPr>
        <w:t>The</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fleshpots</w:t>
      </w:r>
      <w:proofErr w:type="spellEnd"/>
      <w:r w:rsidRPr="00FC2058">
        <w:rPr>
          <w:rFonts w:ascii="Times New Roman" w:eastAsia="Times New Roman" w:hAnsi="Times New Roman"/>
          <w:sz w:val="28"/>
          <w:szCs w:val="28"/>
          <w:lang w:eastAsia="ru-RU"/>
        </w:rPr>
        <w:t>/</w:t>
      </w:r>
      <w:proofErr w:type="spellStart"/>
      <w:r w:rsidRPr="00FC2058">
        <w:rPr>
          <w:rFonts w:ascii="Times New Roman" w:eastAsia="Times New Roman" w:hAnsi="Times New Roman"/>
          <w:sz w:val="28"/>
          <w:szCs w:val="28"/>
          <w:lang w:eastAsia="ru-RU"/>
        </w:rPr>
        <w:t>flesh-pots</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of</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Egypt</w:t>
      </w:r>
      <w:proofErr w:type="spellEnd"/>
      <w:r w:rsidRPr="00FC2058">
        <w:rPr>
          <w:rFonts w:ascii="Times New Roman" w:eastAsia="Times New Roman" w:hAnsi="Times New Roman"/>
          <w:sz w:val="28"/>
          <w:szCs w:val="28"/>
          <w:lang w:eastAsia="ru-RU"/>
        </w:rPr>
        <w:t xml:space="preserve"> – «Злачные места», места, </w:t>
      </w:r>
      <w:r w:rsidRPr="00FC2058">
        <w:rPr>
          <w:rFonts w:ascii="Times New Roman" w:eastAsia="Times New Roman" w:hAnsi="Times New Roman"/>
          <w:sz w:val="28"/>
          <w:szCs w:val="28"/>
          <w:lang w:eastAsia="ru-RU"/>
        </w:rPr>
        <w:lastRenderedPageBreak/>
        <w:t>где можно предаваться всевозможным увеселениям и развлечениям (</w:t>
      </w:r>
      <w:proofErr w:type="spellStart"/>
      <w:r w:rsidRPr="00FC2058">
        <w:rPr>
          <w:rFonts w:ascii="Times New Roman" w:eastAsia="Times New Roman" w:hAnsi="Times New Roman"/>
          <w:sz w:val="28"/>
          <w:szCs w:val="28"/>
          <w:lang w:eastAsia="ru-RU"/>
        </w:rPr>
        <w:t>the</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fleshpots</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of</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Las</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Vegas</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the</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fleshpots</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of</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Hollywood</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fleshpotish</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Paris</w:t>
      </w:r>
      <w:proofErr w:type="spellEnd"/>
      <w:r w:rsidRPr="00FC2058">
        <w:rPr>
          <w:rFonts w:ascii="Times New Roman" w:eastAsia="Times New Roman" w:hAnsi="Times New Roman"/>
          <w:sz w:val="28"/>
          <w:szCs w:val="28"/>
          <w:lang w:eastAsia="ru-RU"/>
        </w:rPr>
        <w:t xml:space="preserve">) [1, c. 107]. </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proofErr w:type="gramStart"/>
      <w:r w:rsidRPr="00FC2058">
        <w:rPr>
          <w:rFonts w:ascii="Times New Roman" w:eastAsia="Times New Roman" w:hAnsi="Times New Roman"/>
          <w:sz w:val="28"/>
          <w:szCs w:val="28"/>
          <w:lang w:eastAsia="ru-RU"/>
        </w:rPr>
        <w:t xml:space="preserve">Не упускать из вида, что в русском языке утвердились такие </w:t>
      </w:r>
      <w:proofErr w:type="spellStart"/>
      <w:r w:rsidRPr="00FC2058">
        <w:rPr>
          <w:rFonts w:ascii="Times New Roman" w:eastAsia="Times New Roman" w:hAnsi="Times New Roman"/>
          <w:sz w:val="28"/>
          <w:szCs w:val="28"/>
          <w:lang w:eastAsia="ru-RU"/>
        </w:rPr>
        <w:t>библеизмы</w:t>
      </w:r>
      <w:proofErr w:type="spellEnd"/>
      <w:r w:rsidRPr="00FC2058">
        <w:rPr>
          <w:rFonts w:ascii="Times New Roman" w:eastAsia="Times New Roman" w:hAnsi="Times New Roman"/>
          <w:sz w:val="28"/>
          <w:szCs w:val="28"/>
          <w:lang w:eastAsia="ru-RU"/>
        </w:rPr>
        <w:t>, которые в английский язык не вошли, так как остались частью библейских текстов; при их переводе следует подбирать аналоги, сохраняющие содержание и образность русского выражения: что-либо/то – от лукавого – </w:t>
      </w:r>
      <w:proofErr w:type="spellStart"/>
      <w:r w:rsidRPr="00FC2058">
        <w:rPr>
          <w:rFonts w:ascii="Times New Roman" w:eastAsia="Times New Roman" w:hAnsi="Times New Roman"/>
          <w:sz w:val="28"/>
          <w:szCs w:val="28"/>
          <w:lang w:eastAsia="ru-RU"/>
        </w:rPr>
        <w:t>it</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is</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the</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work</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of</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the</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devil</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it</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comes</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straight</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from</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the</w:t>
      </w:r>
      <w:proofErr w:type="spellEnd"/>
      <w:r w:rsidRPr="00FC2058">
        <w:rPr>
          <w:rFonts w:ascii="Times New Roman" w:eastAsia="Times New Roman" w:hAnsi="Times New Roman"/>
          <w:sz w:val="28"/>
          <w:szCs w:val="28"/>
          <w:lang w:eastAsia="ru-RU"/>
        </w:rPr>
        <w:t xml:space="preserve"> </w:t>
      </w:r>
      <w:proofErr w:type="spellStart"/>
      <w:r w:rsidRPr="00FC2058">
        <w:rPr>
          <w:rFonts w:ascii="Times New Roman" w:eastAsia="Times New Roman" w:hAnsi="Times New Roman"/>
          <w:sz w:val="28"/>
          <w:szCs w:val="28"/>
          <w:lang w:eastAsia="ru-RU"/>
        </w:rPr>
        <w:t>devil</w:t>
      </w:r>
      <w:proofErr w:type="spellEnd"/>
      <w:r w:rsidRPr="00FC2058">
        <w:rPr>
          <w:rFonts w:ascii="Times New Roman" w:eastAsia="Times New Roman" w:hAnsi="Times New Roman"/>
          <w:sz w:val="28"/>
          <w:szCs w:val="28"/>
          <w:lang w:eastAsia="ru-RU"/>
        </w:rPr>
        <w:t xml:space="preserve"> [1, c. 107]. </w:t>
      </w:r>
      <w:proofErr w:type="gramEnd"/>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Известно, что происхождение фразеологизмов-</w:t>
      </w:r>
      <w:proofErr w:type="spellStart"/>
      <w:r w:rsidRPr="00FC2058">
        <w:rPr>
          <w:rFonts w:ascii="Times New Roman" w:eastAsia="Times New Roman" w:hAnsi="Times New Roman"/>
          <w:sz w:val="28"/>
          <w:szCs w:val="28"/>
          <w:lang w:eastAsia="ru-RU"/>
        </w:rPr>
        <w:t>библеизмов</w:t>
      </w:r>
      <w:proofErr w:type="spellEnd"/>
      <w:r w:rsidRPr="00FC2058">
        <w:rPr>
          <w:rFonts w:ascii="Times New Roman" w:eastAsia="Times New Roman" w:hAnsi="Times New Roman"/>
          <w:sz w:val="28"/>
          <w:szCs w:val="28"/>
          <w:lang w:eastAsia="ru-RU"/>
        </w:rPr>
        <w:t xml:space="preserve"> </w:t>
      </w:r>
      <w:proofErr w:type="gramStart"/>
      <w:r w:rsidRPr="00FC2058">
        <w:rPr>
          <w:rFonts w:ascii="Times New Roman" w:eastAsia="Times New Roman" w:hAnsi="Times New Roman"/>
          <w:sz w:val="28"/>
          <w:szCs w:val="28"/>
          <w:lang w:eastAsia="ru-RU"/>
        </w:rPr>
        <w:t>неоднородны</w:t>
      </w:r>
      <w:proofErr w:type="gramEnd"/>
      <w:r w:rsidRPr="00FC2058">
        <w:rPr>
          <w:rFonts w:ascii="Times New Roman" w:eastAsia="Times New Roman" w:hAnsi="Times New Roman"/>
          <w:sz w:val="28"/>
          <w:szCs w:val="28"/>
          <w:lang w:eastAsia="ru-RU"/>
        </w:rPr>
        <w:t xml:space="preserve">. Некоторые из них были включены в Библию </w:t>
      </w:r>
      <w:proofErr w:type="gramStart"/>
      <w:r w:rsidRPr="00FC2058">
        <w:rPr>
          <w:rFonts w:ascii="Times New Roman" w:eastAsia="Times New Roman" w:hAnsi="Times New Roman"/>
          <w:sz w:val="28"/>
          <w:szCs w:val="28"/>
          <w:lang w:eastAsia="ru-RU"/>
        </w:rPr>
        <w:t>уже</w:t>
      </w:r>
      <w:proofErr w:type="gramEnd"/>
      <w:r w:rsidRPr="00FC2058">
        <w:rPr>
          <w:rFonts w:ascii="Times New Roman" w:eastAsia="Times New Roman" w:hAnsi="Times New Roman"/>
          <w:sz w:val="28"/>
          <w:szCs w:val="28"/>
          <w:lang w:eastAsia="ru-RU"/>
        </w:rPr>
        <w:t xml:space="preserve"> будучи фразеологизмами, другие позднее стали приобретать фразеологическое значение, в Библии же они представлены в виде свободных сочетаний слов. </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 xml:space="preserve">Выявлено, что в составе русских </w:t>
      </w:r>
      <w:proofErr w:type="spellStart"/>
      <w:r w:rsidRPr="00FC2058">
        <w:rPr>
          <w:rFonts w:ascii="Times New Roman" w:eastAsia="Times New Roman" w:hAnsi="Times New Roman"/>
          <w:sz w:val="28"/>
          <w:szCs w:val="28"/>
          <w:lang w:eastAsia="ru-RU"/>
        </w:rPr>
        <w:t>библеизмов</w:t>
      </w:r>
      <w:proofErr w:type="spellEnd"/>
      <w:r w:rsidRPr="00FC2058">
        <w:rPr>
          <w:rFonts w:ascii="Times New Roman" w:eastAsia="Times New Roman" w:hAnsi="Times New Roman"/>
          <w:sz w:val="28"/>
          <w:szCs w:val="28"/>
          <w:lang w:eastAsia="ru-RU"/>
        </w:rPr>
        <w:t xml:space="preserve"> есть такие, которые являются устаревшими, с национально-культурной спецификой значения, образованные в русском языке, но детерминированные Библией, которые не имеют никаких эквивалентов в английском.</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 xml:space="preserve">Хотелось бы отметить, что все эти расхождения в видах эквивалентности </w:t>
      </w:r>
      <w:proofErr w:type="spellStart"/>
      <w:r w:rsidRPr="00FC2058">
        <w:rPr>
          <w:rFonts w:ascii="Times New Roman" w:eastAsia="Times New Roman" w:hAnsi="Times New Roman"/>
          <w:sz w:val="28"/>
          <w:szCs w:val="28"/>
          <w:lang w:eastAsia="ru-RU"/>
        </w:rPr>
        <w:t>библеизмов</w:t>
      </w:r>
      <w:proofErr w:type="spellEnd"/>
      <w:r w:rsidRPr="00FC2058">
        <w:rPr>
          <w:rFonts w:ascii="Times New Roman" w:eastAsia="Times New Roman" w:hAnsi="Times New Roman"/>
          <w:sz w:val="28"/>
          <w:szCs w:val="28"/>
          <w:lang w:eastAsia="ru-RU"/>
        </w:rPr>
        <w:t xml:space="preserve"> двух языков имеют разную основу. Одни из них напрямую связаны с индивидуальными особенностями переводчиков, но в большинстве своем причиной какого-либо расхождения является грамматические различия русского и английского языков, например, разница в грамматических категориях в обоих языках или различия в словообразовании, в порядке слов.</w:t>
      </w:r>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proofErr w:type="gramStart"/>
      <w:r w:rsidRPr="00FC2058">
        <w:rPr>
          <w:rFonts w:ascii="Times New Roman" w:eastAsia="Times New Roman" w:hAnsi="Times New Roman"/>
          <w:sz w:val="28"/>
          <w:szCs w:val="28"/>
          <w:lang w:eastAsia="ru-RU"/>
        </w:rPr>
        <w:t>Не забывать о том факте, что фразеология библейского происхождения – это «общее наследие» всех христианских народов и представляется своего рода ключом к постижению  окружающего мира: в течение веков в единой памяти носителей языка сохранялась связь фразеологизмов с их истоком и стоящим за ним типом культуры, что гарантировало, так называемое, «диалогическое» взаимодействие эпох, языков и культур.</w:t>
      </w:r>
      <w:proofErr w:type="gramEnd"/>
    </w:p>
    <w:p w:rsidR="00FC2058" w:rsidRPr="00FC2058" w:rsidRDefault="00FC2058" w:rsidP="00FC2058">
      <w:pPr>
        <w:pStyle w:val="a3"/>
        <w:tabs>
          <w:tab w:val="left" w:pos="142"/>
          <w:tab w:val="left" w:pos="426"/>
          <w:tab w:val="left" w:pos="993"/>
        </w:tabs>
        <w:spacing w:line="360" w:lineRule="auto"/>
        <w:ind w:firstLine="709"/>
        <w:jc w:val="both"/>
        <w:rPr>
          <w:rFonts w:ascii="Times New Roman" w:eastAsia="Times New Roman" w:hAnsi="Times New Roman"/>
          <w:sz w:val="28"/>
          <w:szCs w:val="28"/>
          <w:lang w:eastAsia="ru-RU"/>
        </w:rPr>
      </w:pPr>
    </w:p>
    <w:p w:rsidR="006400A5" w:rsidRDefault="006400A5" w:rsidP="006400A5">
      <w:pPr>
        <w:widowControl w:val="0"/>
        <w:spacing w:after="0" w:line="360" w:lineRule="auto"/>
        <w:ind w:firstLine="709"/>
        <w:jc w:val="right"/>
        <w:rPr>
          <w:rFonts w:ascii="Times New Roman" w:hAnsi="Times New Roman"/>
          <w:b/>
          <w:sz w:val="28"/>
          <w:szCs w:val="28"/>
          <w:lang w:eastAsia="ru-RU"/>
        </w:rPr>
      </w:pPr>
      <w:r>
        <w:rPr>
          <w:rFonts w:ascii="Times New Roman" w:hAnsi="Times New Roman"/>
          <w:b/>
          <w:sz w:val="28"/>
          <w:szCs w:val="28"/>
          <w:lang w:eastAsia="ru-RU"/>
        </w:rPr>
        <w:lastRenderedPageBreak/>
        <w:t>Приложение № 3</w:t>
      </w:r>
    </w:p>
    <w:p w:rsidR="006400A5" w:rsidRDefault="006400A5" w:rsidP="006400A5">
      <w:pPr>
        <w:widowControl w:val="0"/>
        <w:spacing w:after="0" w:line="360" w:lineRule="auto"/>
        <w:ind w:firstLine="709"/>
        <w:jc w:val="center"/>
        <w:rPr>
          <w:rFonts w:ascii="Times New Roman" w:hAnsi="Times New Roman"/>
          <w:b/>
          <w:sz w:val="28"/>
          <w:szCs w:val="28"/>
          <w:lang w:eastAsia="ru-RU"/>
        </w:rPr>
      </w:pPr>
      <w:r>
        <w:rPr>
          <w:rFonts w:ascii="Times New Roman" w:hAnsi="Times New Roman"/>
          <w:b/>
          <w:sz w:val="28"/>
          <w:szCs w:val="28"/>
          <w:lang w:eastAsia="ru-RU"/>
        </w:rPr>
        <w:t>Упражнения на уровне словосочетаний</w:t>
      </w:r>
    </w:p>
    <w:p w:rsidR="006400A5" w:rsidRDefault="006400A5" w:rsidP="006400A5">
      <w:pPr>
        <w:widowControl w:val="0"/>
        <w:spacing w:after="0" w:line="360" w:lineRule="auto"/>
        <w:ind w:firstLine="708"/>
        <w:rPr>
          <w:rFonts w:ascii="Times New Roman" w:hAnsi="Times New Roman"/>
          <w:b/>
          <w:sz w:val="28"/>
          <w:szCs w:val="28"/>
          <w:lang w:eastAsia="ru-RU"/>
        </w:rPr>
      </w:pPr>
      <w:r>
        <w:rPr>
          <w:rFonts w:ascii="Times New Roman" w:hAnsi="Times New Roman"/>
          <w:b/>
          <w:sz w:val="28"/>
          <w:szCs w:val="28"/>
          <w:lang w:eastAsia="ru-RU"/>
        </w:rPr>
        <w:t xml:space="preserve">Задание № 1 </w:t>
      </w:r>
    </w:p>
    <w:p w:rsidR="006400A5" w:rsidRDefault="006400A5" w:rsidP="006400A5">
      <w:pPr>
        <w:widowControl w:val="0"/>
        <w:spacing w:after="0" w:line="360" w:lineRule="auto"/>
        <w:ind w:firstLine="709"/>
        <w:jc w:val="both"/>
        <w:rPr>
          <w:rFonts w:ascii="Times New Roman" w:hAnsi="Times New Roman"/>
          <w:sz w:val="28"/>
          <w:szCs w:val="28"/>
        </w:rPr>
      </w:pPr>
      <w:r>
        <w:rPr>
          <w:rFonts w:ascii="Times New Roman" w:hAnsi="Times New Roman"/>
          <w:b/>
          <w:sz w:val="28"/>
          <w:szCs w:val="28"/>
          <w:lang w:val="en-US"/>
        </w:rPr>
        <w:t>Guess the idioms</w:t>
      </w:r>
      <w:r>
        <w:rPr>
          <w:noProof/>
          <w:lang w:val="en-US"/>
        </w:rPr>
        <w:t xml:space="preserve"> </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776"/>
        <w:gridCol w:w="336"/>
        <w:gridCol w:w="4116"/>
      </w:tblGrid>
      <w:tr w:rsidR="006400A5" w:rsidTr="00FF4BBD">
        <w:trPr>
          <w:trHeight w:val="2595"/>
        </w:trPr>
        <w:tc>
          <w:tcPr>
            <w:tcW w:w="328" w:type="dxa"/>
            <w:tcBorders>
              <w:top w:val="single" w:sz="4" w:space="0" w:color="auto"/>
              <w:left w:val="single" w:sz="4" w:space="0" w:color="auto"/>
              <w:bottom w:val="single" w:sz="4" w:space="0" w:color="auto"/>
              <w:right w:val="single" w:sz="4" w:space="0" w:color="auto"/>
            </w:tcBorders>
            <w:hideMark/>
          </w:tcPr>
          <w:p w:rsidR="006400A5" w:rsidRDefault="006400A5" w:rsidP="00FF4BBD">
            <w:pPr>
              <w:widowControl w:val="0"/>
              <w:spacing w:after="0" w:line="360" w:lineRule="auto"/>
              <w:jc w:val="both"/>
              <w:rPr>
                <w:rFonts w:ascii="Times New Roman" w:hAnsi="Times New Roman"/>
                <w:sz w:val="24"/>
                <w:szCs w:val="24"/>
                <w:lang w:val="en-US"/>
              </w:rPr>
            </w:pPr>
            <w:r>
              <w:rPr>
                <w:rFonts w:ascii="Times New Roman" w:hAnsi="Times New Roman"/>
                <w:sz w:val="24"/>
                <w:szCs w:val="24"/>
              </w:rPr>
              <w:t>1</w:t>
            </w:r>
          </w:p>
        </w:tc>
        <w:tc>
          <w:tcPr>
            <w:tcW w:w="4490" w:type="dxa"/>
            <w:tcBorders>
              <w:top w:val="single" w:sz="4" w:space="0" w:color="auto"/>
              <w:left w:val="single" w:sz="4" w:space="0" w:color="auto"/>
              <w:bottom w:val="single" w:sz="4" w:space="0" w:color="auto"/>
              <w:right w:val="single" w:sz="4" w:space="0" w:color="auto"/>
            </w:tcBorders>
            <w:hideMark/>
          </w:tcPr>
          <w:p w:rsidR="006400A5" w:rsidRDefault="006400A5" w:rsidP="00FF4BBD">
            <w:pPr>
              <w:widowControl w:val="0"/>
              <w:spacing w:after="0" w:line="360" w:lineRule="auto"/>
              <w:jc w:val="both"/>
              <w:rPr>
                <w:rFonts w:ascii="Times New Roman" w:hAnsi="Times New Roman"/>
                <w:sz w:val="28"/>
                <w:szCs w:val="28"/>
              </w:rPr>
            </w:pPr>
            <w:r>
              <w:rPr>
                <w:noProof/>
                <w:lang w:eastAsia="ru-RU"/>
              </w:rPr>
              <w:drawing>
                <wp:inline distT="0" distB="0" distL="0" distR="0" wp14:anchorId="69572BB1" wp14:editId="503402A9">
                  <wp:extent cx="1247775" cy="1514475"/>
                  <wp:effectExtent l="0" t="0" r="9525" b="9525"/>
                  <wp:docPr id="10" name="Рисунок 10" descr="время собирать камни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ремя собирать камни знач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7775" cy="1514475"/>
                          </a:xfrm>
                          <a:prstGeom prst="rect">
                            <a:avLst/>
                          </a:prstGeom>
                          <a:noFill/>
                          <a:ln>
                            <a:noFill/>
                          </a:ln>
                        </pic:spPr>
                      </pic:pic>
                    </a:graphicData>
                  </a:graphic>
                </wp:inline>
              </w:drawing>
            </w:r>
            <w:r>
              <w:rPr>
                <w:noProof/>
                <w:lang w:eastAsia="ru-RU"/>
              </w:rPr>
              <w:drawing>
                <wp:inline distT="0" distB="0" distL="0" distR="0" wp14:anchorId="7656F3AB" wp14:editId="00CEE501">
                  <wp:extent cx="1485900" cy="1181100"/>
                  <wp:effectExtent l="0" t="0" r="0" b="0"/>
                  <wp:docPr id="9" name="Рисунок 9" descr="пришло время собирать камни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ишло время собирать камни значе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485900" cy="1181100"/>
                          </a:xfrm>
                          <a:prstGeom prst="rect">
                            <a:avLst/>
                          </a:prstGeom>
                          <a:noFill/>
                          <a:ln>
                            <a:noFill/>
                          </a:ln>
                        </pic:spPr>
                      </pic:pic>
                    </a:graphicData>
                  </a:graphic>
                </wp:inline>
              </w:drawing>
            </w:r>
          </w:p>
        </w:tc>
        <w:tc>
          <w:tcPr>
            <w:tcW w:w="236"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rFonts w:ascii="Times New Roman" w:hAnsi="Times New Roman"/>
                <w:noProof/>
                <w:sz w:val="24"/>
                <w:szCs w:val="24"/>
                <w:lang w:val="en-US"/>
              </w:rPr>
            </w:pPr>
            <w:r>
              <w:rPr>
                <w:rFonts w:ascii="Times New Roman" w:hAnsi="Times New Roman"/>
                <w:noProof/>
                <w:sz w:val="24"/>
                <w:szCs w:val="24"/>
                <w:lang w:val="en-US"/>
              </w:rPr>
              <w:t>2</w:t>
            </w:r>
          </w:p>
        </w:tc>
        <w:tc>
          <w:tcPr>
            <w:tcW w:w="4296"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rFonts w:ascii="Times New Roman" w:hAnsi="Times New Roman"/>
                <w:sz w:val="28"/>
                <w:szCs w:val="28"/>
              </w:rPr>
            </w:pPr>
            <w:r>
              <w:rPr>
                <w:noProof/>
              </w:rPr>
              <w:t xml:space="preserve">         </w:t>
            </w:r>
            <w:r>
              <w:rPr>
                <w:noProof/>
                <w:lang w:eastAsia="ru-RU"/>
              </w:rPr>
              <w:drawing>
                <wp:inline distT="0" distB="0" distL="0" distR="0" wp14:anchorId="1C3410D6" wp14:editId="1476A16F">
                  <wp:extent cx="1752600" cy="1514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extLst>
                              <a:ext uri="{28A0092B-C50C-407E-A947-70E740481C1C}">
                                <a14:useLocalDpi xmlns:a14="http://schemas.microsoft.com/office/drawing/2010/main" val="0"/>
                              </a:ext>
                            </a:extLst>
                          </a:blip>
                          <a:srcRect l="27548" t="26297" r="39304" b="23048"/>
                          <a:stretch>
                            <a:fillRect/>
                          </a:stretch>
                        </pic:blipFill>
                        <pic:spPr bwMode="auto">
                          <a:xfrm>
                            <a:off x="0" y="0"/>
                            <a:ext cx="1752600" cy="1514475"/>
                          </a:xfrm>
                          <a:prstGeom prst="rect">
                            <a:avLst/>
                          </a:prstGeom>
                          <a:noFill/>
                          <a:ln>
                            <a:noFill/>
                          </a:ln>
                        </pic:spPr>
                      </pic:pic>
                    </a:graphicData>
                  </a:graphic>
                </wp:inline>
              </w:drawing>
            </w:r>
          </w:p>
        </w:tc>
      </w:tr>
      <w:tr w:rsidR="006400A5" w:rsidTr="00FF4BBD">
        <w:tc>
          <w:tcPr>
            <w:tcW w:w="328"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rFonts w:ascii="Times New Roman" w:hAnsi="Times New Roman"/>
                <w:noProof/>
                <w:sz w:val="24"/>
                <w:szCs w:val="24"/>
                <w:lang w:val="en-US"/>
              </w:rPr>
            </w:pPr>
            <w:r>
              <w:rPr>
                <w:rFonts w:ascii="Times New Roman" w:hAnsi="Times New Roman"/>
                <w:noProof/>
                <w:sz w:val="24"/>
                <w:szCs w:val="24"/>
                <w:lang w:val="en-US"/>
              </w:rPr>
              <w:t>3</w:t>
            </w:r>
          </w:p>
        </w:tc>
        <w:tc>
          <w:tcPr>
            <w:tcW w:w="4490"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noProof/>
              </w:rPr>
            </w:pPr>
            <w:r>
              <w:rPr>
                <w:noProof/>
              </w:rPr>
              <w:t xml:space="preserve">       </w:t>
            </w:r>
            <w:r>
              <w:rPr>
                <w:noProof/>
                <w:sz w:val="28"/>
                <w:szCs w:val="28"/>
              </w:rPr>
              <w:t xml:space="preserve">  </w:t>
            </w:r>
            <w:r>
              <w:rPr>
                <w:noProof/>
                <w:sz w:val="28"/>
                <w:szCs w:val="28"/>
                <w:lang w:eastAsia="ru-RU"/>
              </w:rPr>
              <w:drawing>
                <wp:inline distT="0" distB="0" distL="0" distR="0" wp14:anchorId="261BED70" wp14:editId="1870B62C">
                  <wp:extent cx="1552575" cy="1143000"/>
                  <wp:effectExtent l="0" t="0" r="9525" b="0"/>
                  <wp:docPr id="7" name="Рисунок 7" descr="BFC3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BFC38412"/>
                          <pic:cNvPicPr>
                            <a:picLocks noChangeAspect="1" noChangeArrowheads="1"/>
                          </pic:cNvPicPr>
                        </pic:nvPicPr>
                        <pic:blipFill>
                          <a:blip r:embed="rId9">
                            <a:extLst>
                              <a:ext uri="{28A0092B-C50C-407E-A947-70E740481C1C}">
                                <a14:useLocalDpi xmlns:a14="http://schemas.microsoft.com/office/drawing/2010/main" val="0"/>
                              </a:ext>
                            </a:extLst>
                          </a:blip>
                          <a:srcRect l="19669" t="3242" r="23666" b="12500"/>
                          <a:stretch>
                            <a:fillRect/>
                          </a:stretch>
                        </pic:blipFill>
                        <pic:spPr bwMode="auto">
                          <a:xfrm>
                            <a:off x="0" y="0"/>
                            <a:ext cx="1552575" cy="1143000"/>
                          </a:xfrm>
                          <a:prstGeom prst="rect">
                            <a:avLst/>
                          </a:prstGeom>
                          <a:noFill/>
                          <a:ln>
                            <a:noFill/>
                          </a:ln>
                        </pic:spPr>
                      </pic:pic>
                    </a:graphicData>
                  </a:graphic>
                </wp:inline>
              </w:drawing>
            </w:r>
          </w:p>
        </w:tc>
        <w:tc>
          <w:tcPr>
            <w:tcW w:w="236"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rFonts w:ascii="Times New Roman" w:hAnsi="Times New Roman"/>
                <w:noProof/>
                <w:sz w:val="24"/>
                <w:szCs w:val="24"/>
                <w:lang w:val="en-US"/>
              </w:rPr>
            </w:pPr>
            <w:r>
              <w:rPr>
                <w:rFonts w:ascii="Times New Roman" w:hAnsi="Times New Roman"/>
                <w:noProof/>
                <w:sz w:val="24"/>
                <w:szCs w:val="24"/>
                <w:lang w:val="en-US"/>
              </w:rPr>
              <w:t>4</w:t>
            </w:r>
          </w:p>
        </w:tc>
        <w:tc>
          <w:tcPr>
            <w:tcW w:w="4296"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noProof/>
              </w:rPr>
            </w:pPr>
            <w:r>
              <w:rPr>
                <w:noProof/>
              </w:rPr>
              <w:t xml:space="preserve">    </w:t>
            </w:r>
            <w:r>
              <w:rPr>
                <w:noProof/>
                <w:lang w:val="en-US"/>
              </w:rPr>
              <w:t xml:space="preserve">        </w:t>
            </w:r>
            <w:r>
              <w:rPr>
                <w:noProof/>
                <w:lang w:eastAsia="ru-RU"/>
              </w:rPr>
              <w:drawing>
                <wp:inline distT="0" distB="0" distL="0" distR="0" wp14:anchorId="370974F6" wp14:editId="00D8E1B1">
                  <wp:extent cx="1457325" cy="1143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l="20387" t="25465" r="43193" b="23602"/>
                          <a:stretch>
                            <a:fillRect/>
                          </a:stretch>
                        </pic:blipFill>
                        <pic:spPr bwMode="auto">
                          <a:xfrm>
                            <a:off x="0" y="0"/>
                            <a:ext cx="1457325" cy="1143000"/>
                          </a:xfrm>
                          <a:prstGeom prst="rect">
                            <a:avLst/>
                          </a:prstGeom>
                          <a:noFill/>
                          <a:ln>
                            <a:noFill/>
                          </a:ln>
                        </pic:spPr>
                      </pic:pic>
                    </a:graphicData>
                  </a:graphic>
                </wp:inline>
              </w:drawing>
            </w:r>
          </w:p>
        </w:tc>
      </w:tr>
      <w:tr w:rsidR="006400A5" w:rsidTr="00FF4BBD">
        <w:tc>
          <w:tcPr>
            <w:tcW w:w="328"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rFonts w:ascii="Times New Roman" w:hAnsi="Times New Roman"/>
                <w:noProof/>
                <w:sz w:val="24"/>
                <w:szCs w:val="24"/>
                <w:lang w:val="en-US"/>
              </w:rPr>
            </w:pPr>
            <w:r>
              <w:rPr>
                <w:rFonts w:ascii="Times New Roman" w:hAnsi="Times New Roman"/>
                <w:noProof/>
                <w:sz w:val="24"/>
                <w:szCs w:val="24"/>
                <w:lang w:val="en-US"/>
              </w:rPr>
              <w:t>5</w:t>
            </w:r>
          </w:p>
        </w:tc>
        <w:tc>
          <w:tcPr>
            <w:tcW w:w="4490"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noProof/>
              </w:rPr>
            </w:pPr>
            <w:r>
              <w:rPr>
                <w:noProof/>
                <w:lang w:eastAsia="ru-RU"/>
              </w:rPr>
              <w:drawing>
                <wp:inline distT="0" distB="0" distL="0" distR="0" wp14:anchorId="1B56F6B4" wp14:editId="72432218">
                  <wp:extent cx="2886075" cy="1438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l="11189" t="25465" r="30756" b="23036"/>
                          <a:stretch>
                            <a:fillRect/>
                          </a:stretch>
                        </pic:blipFill>
                        <pic:spPr bwMode="auto">
                          <a:xfrm>
                            <a:off x="0" y="0"/>
                            <a:ext cx="2886075" cy="1438275"/>
                          </a:xfrm>
                          <a:prstGeom prst="rect">
                            <a:avLst/>
                          </a:prstGeom>
                          <a:noFill/>
                          <a:ln>
                            <a:noFill/>
                          </a:ln>
                        </pic:spPr>
                      </pic:pic>
                    </a:graphicData>
                  </a:graphic>
                </wp:inline>
              </w:drawing>
            </w:r>
          </w:p>
        </w:tc>
        <w:tc>
          <w:tcPr>
            <w:tcW w:w="236"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rFonts w:ascii="Times New Roman" w:hAnsi="Times New Roman"/>
                <w:noProof/>
                <w:sz w:val="24"/>
                <w:szCs w:val="24"/>
                <w:lang w:val="en-US"/>
              </w:rPr>
            </w:pPr>
            <w:r>
              <w:rPr>
                <w:rFonts w:ascii="Times New Roman" w:hAnsi="Times New Roman"/>
                <w:noProof/>
                <w:sz w:val="24"/>
                <w:szCs w:val="24"/>
                <w:lang w:val="en-US"/>
              </w:rPr>
              <w:t>6</w:t>
            </w:r>
          </w:p>
        </w:tc>
        <w:tc>
          <w:tcPr>
            <w:tcW w:w="4296"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noProof/>
              </w:rPr>
            </w:pPr>
            <w:r>
              <w:rPr>
                <w:noProof/>
              </w:rPr>
              <w:t xml:space="preserve">               </w:t>
            </w:r>
            <w:r>
              <w:rPr>
                <w:noProof/>
                <w:lang w:eastAsia="ru-RU"/>
              </w:rPr>
              <w:drawing>
                <wp:inline distT="0" distB="0" distL="0" distR="0" wp14:anchorId="147FDBBC" wp14:editId="081D7179">
                  <wp:extent cx="1362075" cy="1447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l="28169" t="26573" r="45528" b="23602"/>
                          <a:stretch>
                            <a:fillRect/>
                          </a:stretch>
                        </pic:blipFill>
                        <pic:spPr bwMode="auto">
                          <a:xfrm>
                            <a:off x="0" y="0"/>
                            <a:ext cx="1362075" cy="1447800"/>
                          </a:xfrm>
                          <a:prstGeom prst="rect">
                            <a:avLst/>
                          </a:prstGeom>
                          <a:noFill/>
                          <a:ln>
                            <a:noFill/>
                          </a:ln>
                        </pic:spPr>
                      </pic:pic>
                    </a:graphicData>
                  </a:graphic>
                </wp:inline>
              </w:drawing>
            </w:r>
          </w:p>
        </w:tc>
      </w:tr>
      <w:tr w:rsidR="006400A5" w:rsidTr="00FF4BBD">
        <w:tc>
          <w:tcPr>
            <w:tcW w:w="328"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rFonts w:ascii="Times New Roman" w:hAnsi="Times New Roman"/>
                <w:noProof/>
                <w:sz w:val="24"/>
                <w:szCs w:val="24"/>
                <w:lang w:val="en-US"/>
              </w:rPr>
            </w:pPr>
            <w:r>
              <w:rPr>
                <w:rFonts w:ascii="Times New Roman" w:hAnsi="Times New Roman"/>
                <w:noProof/>
                <w:sz w:val="24"/>
                <w:szCs w:val="24"/>
                <w:lang w:val="en-US"/>
              </w:rPr>
              <w:t>7</w:t>
            </w:r>
          </w:p>
        </w:tc>
        <w:tc>
          <w:tcPr>
            <w:tcW w:w="4490"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noProof/>
              </w:rPr>
            </w:pPr>
            <w:r>
              <w:rPr>
                <w:noProof/>
              </w:rPr>
              <w:t xml:space="preserve">                  </w:t>
            </w:r>
            <w:r>
              <w:rPr>
                <w:noProof/>
                <w:lang w:eastAsia="ru-RU"/>
              </w:rPr>
              <w:drawing>
                <wp:inline distT="0" distB="0" distL="0" distR="0" wp14:anchorId="6C96EEF2" wp14:editId="75599865">
                  <wp:extent cx="1809750" cy="1619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l="25369" t="27957" r="43816" b="23048"/>
                          <a:stretch>
                            <a:fillRect/>
                          </a:stretch>
                        </pic:blipFill>
                        <pic:spPr bwMode="auto">
                          <a:xfrm>
                            <a:off x="0" y="0"/>
                            <a:ext cx="1809750" cy="1619250"/>
                          </a:xfrm>
                          <a:prstGeom prst="rect">
                            <a:avLst/>
                          </a:prstGeom>
                          <a:noFill/>
                          <a:ln>
                            <a:noFill/>
                          </a:ln>
                        </pic:spPr>
                      </pic:pic>
                    </a:graphicData>
                  </a:graphic>
                </wp:inline>
              </w:drawing>
            </w:r>
          </w:p>
        </w:tc>
        <w:tc>
          <w:tcPr>
            <w:tcW w:w="236"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rFonts w:ascii="Times New Roman" w:hAnsi="Times New Roman"/>
                <w:noProof/>
                <w:sz w:val="24"/>
                <w:szCs w:val="24"/>
                <w:lang w:val="en-US"/>
              </w:rPr>
            </w:pPr>
            <w:r>
              <w:rPr>
                <w:rFonts w:ascii="Times New Roman" w:hAnsi="Times New Roman"/>
                <w:noProof/>
                <w:sz w:val="24"/>
                <w:szCs w:val="24"/>
                <w:lang w:val="en-US"/>
              </w:rPr>
              <w:t>8</w:t>
            </w:r>
          </w:p>
        </w:tc>
        <w:tc>
          <w:tcPr>
            <w:tcW w:w="4296" w:type="dxa"/>
            <w:tcBorders>
              <w:top w:val="single" w:sz="4" w:space="0" w:color="auto"/>
              <w:left w:val="single" w:sz="4" w:space="0" w:color="auto"/>
              <w:bottom w:val="single" w:sz="4" w:space="0" w:color="auto"/>
              <w:right w:val="single" w:sz="4" w:space="0" w:color="auto"/>
            </w:tcBorders>
            <w:hideMark/>
          </w:tcPr>
          <w:p w:rsidR="006400A5" w:rsidRDefault="006400A5" w:rsidP="00FF4BBD">
            <w:pPr>
              <w:pStyle w:val="a4"/>
              <w:widowControl w:val="0"/>
              <w:spacing w:after="0" w:line="360" w:lineRule="auto"/>
              <w:ind w:left="0"/>
              <w:jc w:val="both"/>
              <w:rPr>
                <w:noProof/>
              </w:rPr>
            </w:pPr>
            <w:r>
              <w:rPr>
                <w:noProof/>
                <w:lang w:eastAsia="ru-RU"/>
              </w:rPr>
              <w:drawing>
                <wp:inline distT="0" distB="0" distL="0" distR="0" wp14:anchorId="09385CD8" wp14:editId="524E9193">
                  <wp:extent cx="2466975" cy="1533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17586" t="26573" r="39023" b="25539"/>
                          <a:stretch>
                            <a:fillRect/>
                          </a:stretch>
                        </pic:blipFill>
                        <pic:spPr bwMode="auto">
                          <a:xfrm>
                            <a:off x="0" y="0"/>
                            <a:ext cx="2466975" cy="1533525"/>
                          </a:xfrm>
                          <a:prstGeom prst="rect">
                            <a:avLst/>
                          </a:prstGeom>
                          <a:noFill/>
                          <a:ln>
                            <a:noFill/>
                          </a:ln>
                        </pic:spPr>
                      </pic:pic>
                    </a:graphicData>
                  </a:graphic>
                </wp:inline>
              </w:drawing>
            </w:r>
          </w:p>
        </w:tc>
      </w:tr>
    </w:tbl>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p>
    <w:p w:rsidR="006400A5" w:rsidRDefault="006400A5" w:rsidP="006400A5">
      <w:pPr>
        <w:pStyle w:val="a4"/>
        <w:widowControl w:val="0"/>
        <w:tabs>
          <w:tab w:val="left" w:pos="709"/>
        </w:tabs>
        <w:spacing w:after="0" w:line="360" w:lineRule="auto"/>
        <w:ind w:left="0"/>
        <w:jc w:val="both"/>
        <w:rPr>
          <w:rFonts w:ascii="Times New Roman" w:hAnsi="Times New Roman"/>
          <w:sz w:val="28"/>
          <w:szCs w:val="28"/>
          <w:lang w:val="en-US" w:eastAsia="ru-RU"/>
        </w:rPr>
      </w:pPr>
      <w:r>
        <w:rPr>
          <w:rFonts w:ascii="Times New Roman" w:hAnsi="Times New Roman"/>
          <w:b/>
          <w:sz w:val="28"/>
          <w:szCs w:val="28"/>
          <w:lang w:val="en-US" w:eastAsia="ru-RU"/>
        </w:rPr>
        <w:t>Key</w:t>
      </w:r>
      <w:r w:rsidRPr="000D4C9C">
        <w:rPr>
          <w:rFonts w:ascii="Times New Roman" w:hAnsi="Times New Roman"/>
          <w:b/>
          <w:sz w:val="28"/>
          <w:szCs w:val="28"/>
          <w:lang w:val="en-US" w:eastAsia="ru-RU"/>
        </w:rPr>
        <w:t>:</w:t>
      </w:r>
      <w:r w:rsidRPr="000D4C9C">
        <w:rPr>
          <w:rFonts w:ascii="Times New Roman" w:hAnsi="Times New Roman"/>
          <w:sz w:val="28"/>
          <w:szCs w:val="28"/>
          <w:lang w:val="en-US" w:eastAsia="ru-RU"/>
        </w:rPr>
        <w:t xml:space="preserve"> </w:t>
      </w:r>
      <w:r>
        <w:rPr>
          <w:rFonts w:ascii="Times New Roman" w:hAnsi="Times New Roman"/>
          <w:sz w:val="28"/>
          <w:szCs w:val="28"/>
          <w:lang w:val="en-US"/>
        </w:rPr>
        <w:t xml:space="preserve">1. </w:t>
      </w:r>
      <w:r>
        <w:fldChar w:fldCharType="begin"/>
      </w:r>
      <w:r w:rsidRPr="006400A5">
        <w:rPr>
          <w:lang w:val="en-US"/>
        </w:rPr>
        <w:instrText xml:space="preserve"> HYPERLINK "https://translate.academic.ru/and%20a%20time%20to%20gather%20stones%20together/ru/en/" </w:instrText>
      </w:r>
      <w:r>
        <w:fldChar w:fldCharType="separate"/>
      </w:r>
      <w:r w:rsidRPr="00847945">
        <w:rPr>
          <w:rStyle w:val="a5"/>
          <w:rFonts w:ascii="Times New Roman" w:hAnsi="Times New Roman"/>
          <w:color w:val="auto"/>
          <w:sz w:val="28"/>
          <w:szCs w:val="28"/>
          <w:u w:val="none"/>
          <w:lang w:val="en-US"/>
        </w:rPr>
        <w:t>Time to gather stones together</w:t>
      </w:r>
      <w:r>
        <w:rPr>
          <w:rStyle w:val="a5"/>
          <w:rFonts w:ascii="Times New Roman" w:hAnsi="Times New Roman"/>
          <w:color w:val="auto"/>
          <w:sz w:val="28"/>
          <w:szCs w:val="28"/>
          <w:u w:val="none"/>
          <w:lang w:val="en-US"/>
        </w:rPr>
        <w:fldChar w:fldCharType="end"/>
      </w:r>
      <w:r w:rsidRPr="00847945">
        <w:rPr>
          <w:rFonts w:ascii="Times New Roman" w:hAnsi="Times New Roman"/>
          <w:sz w:val="28"/>
          <w:szCs w:val="28"/>
          <w:lang w:val="en-US"/>
        </w:rPr>
        <w:t>.</w:t>
      </w:r>
      <w:r>
        <w:rPr>
          <w:rFonts w:ascii="Times New Roman" w:hAnsi="Times New Roman"/>
          <w:sz w:val="28"/>
          <w:szCs w:val="28"/>
          <w:lang w:val="en-US"/>
        </w:rPr>
        <w:t xml:space="preserve"> 2. A wolf in sheep's clothing. 3. A sealed book. 4. The Lamb of God. 5. Solomon’s wisdom. 6. </w:t>
      </w:r>
      <w:r>
        <w:fldChar w:fldCharType="begin"/>
      </w:r>
      <w:r w:rsidRPr="006400A5">
        <w:rPr>
          <w:lang w:val="en-US"/>
        </w:rPr>
        <w:instrText xml:space="preserve"> HYPERLINK "https://en.wikipedia.org/wiki/Noah%27s_Ark" </w:instrText>
      </w:r>
      <w:r>
        <w:fldChar w:fldCharType="separate"/>
      </w:r>
      <w:r w:rsidRPr="00847945">
        <w:rPr>
          <w:rStyle w:val="a5"/>
          <w:rFonts w:ascii="Times New Roman" w:hAnsi="Times New Roman"/>
          <w:color w:val="auto"/>
          <w:sz w:val="28"/>
          <w:szCs w:val="28"/>
          <w:u w:val="none"/>
          <w:lang w:val="en-US"/>
        </w:rPr>
        <w:t>Noah's Ark</w:t>
      </w:r>
      <w:r>
        <w:rPr>
          <w:rStyle w:val="a5"/>
          <w:rFonts w:ascii="Times New Roman" w:hAnsi="Times New Roman"/>
          <w:color w:val="auto"/>
          <w:sz w:val="28"/>
          <w:szCs w:val="28"/>
          <w:u w:val="none"/>
          <w:lang w:val="en-US"/>
        </w:rPr>
        <w:fldChar w:fldCharType="end"/>
      </w:r>
      <w:r w:rsidRPr="00847945">
        <w:rPr>
          <w:rFonts w:ascii="Times New Roman" w:hAnsi="Times New Roman"/>
          <w:sz w:val="28"/>
          <w:szCs w:val="28"/>
          <w:lang w:val="en-US"/>
        </w:rPr>
        <w:t>.</w:t>
      </w:r>
      <w:r>
        <w:rPr>
          <w:rFonts w:ascii="Times New Roman" w:hAnsi="Times New Roman"/>
          <w:sz w:val="28"/>
          <w:szCs w:val="28"/>
          <w:lang w:val="en-US"/>
        </w:rPr>
        <w:t xml:space="preserve"> 7. The widow’s mite. 8. A voice crying in the wilderness.</w:t>
      </w:r>
    </w:p>
    <w:p w:rsidR="006400A5" w:rsidRDefault="006400A5" w:rsidP="006400A5">
      <w:pPr>
        <w:widowControl w:val="0"/>
        <w:spacing w:after="0" w:line="360" w:lineRule="auto"/>
        <w:ind w:firstLine="709"/>
        <w:jc w:val="right"/>
        <w:rPr>
          <w:rFonts w:ascii="Times New Roman" w:hAnsi="Times New Roman"/>
          <w:b/>
          <w:sz w:val="28"/>
          <w:szCs w:val="28"/>
          <w:lang w:val="en-US" w:eastAsia="ru-RU"/>
        </w:rPr>
      </w:pPr>
    </w:p>
    <w:p w:rsidR="006400A5" w:rsidRPr="00BC4467" w:rsidRDefault="006400A5" w:rsidP="006400A5">
      <w:pPr>
        <w:widowControl w:val="0"/>
        <w:spacing w:after="0" w:line="360" w:lineRule="auto"/>
        <w:ind w:firstLine="709"/>
        <w:jc w:val="right"/>
        <w:rPr>
          <w:rFonts w:ascii="Times New Roman" w:hAnsi="Times New Roman"/>
          <w:b/>
          <w:sz w:val="28"/>
          <w:szCs w:val="28"/>
          <w:lang w:val="en-US" w:eastAsia="ru-RU"/>
        </w:rPr>
      </w:pPr>
    </w:p>
    <w:p w:rsidR="006400A5" w:rsidRPr="000D4C9C" w:rsidRDefault="006400A5" w:rsidP="006400A5">
      <w:pPr>
        <w:widowControl w:val="0"/>
        <w:spacing w:after="0" w:line="360" w:lineRule="auto"/>
        <w:ind w:firstLine="709"/>
        <w:jc w:val="right"/>
        <w:rPr>
          <w:rFonts w:ascii="Times New Roman" w:hAnsi="Times New Roman"/>
          <w:b/>
          <w:sz w:val="28"/>
          <w:szCs w:val="28"/>
          <w:lang w:eastAsia="ru-RU"/>
        </w:rPr>
      </w:pPr>
      <w:r>
        <w:rPr>
          <w:rFonts w:ascii="Times New Roman" w:hAnsi="Times New Roman"/>
          <w:b/>
          <w:sz w:val="28"/>
          <w:szCs w:val="28"/>
          <w:lang w:eastAsia="ru-RU"/>
        </w:rPr>
        <w:lastRenderedPageBreak/>
        <w:t>Приложение</w:t>
      </w:r>
      <w:r w:rsidRPr="000D4C9C">
        <w:rPr>
          <w:rFonts w:ascii="Times New Roman" w:hAnsi="Times New Roman"/>
          <w:b/>
          <w:sz w:val="28"/>
          <w:szCs w:val="28"/>
          <w:lang w:eastAsia="ru-RU"/>
        </w:rPr>
        <w:t xml:space="preserve"> № 4</w:t>
      </w:r>
    </w:p>
    <w:p w:rsidR="006400A5" w:rsidRDefault="006400A5" w:rsidP="006400A5">
      <w:pPr>
        <w:widowControl w:val="0"/>
        <w:spacing w:after="0" w:line="360" w:lineRule="auto"/>
        <w:ind w:firstLine="709"/>
        <w:jc w:val="center"/>
        <w:rPr>
          <w:rFonts w:ascii="Times New Roman" w:hAnsi="Times New Roman"/>
          <w:b/>
          <w:sz w:val="28"/>
          <w:szCs w:val="28"/>
          <w:lang w:eastAsia="ru-RU"/>
        </w:rPr>
      </w:pPr>
      <w:r>
        <w:rPr>
          <w:rFonts w:ascii="Times New Roman" w:hAnsi="Times New Roman"/>
          <w:b/>
          <w:sz w:val="28"/>
          <w:szCs w:val="28"/>
          <w:lang w:eastAsia="ru-RU"/>
        </w:rPr>
        <w:t>Упражнения на уровне словосочетаний</w:t>
      </w:r>
    </w:p>
    <w:p w:rsidR="006400A5" w:rsidRDefault="006400A5" w:rsidP="006400A5">
      <w:pPr>
        <w:widowControl w:val="0"/>
        <w:spacing w:after="0" w:line="360" w:lineRule="auto"/>
        <w:ind w:firstLine="709"/>
        <w:rPr>
          <w:rFonts w:ascii="Arial" w:hAnsi="Arial" w:cs="Arial"/>
          <w:color w:val="333333"/>
          <w:sz w:val="21"/>
          <w:szCs w:val="21"/>
        </w:rPr>
      </w:pPr>
      <w:r>
        <w:rPr>
          <w:rFonts w:ascii="Times New Roman" w:hAnsi="Times New Roman"/>
          <w:b/>
          <w:sz w:val="28"/>
          <w:szCs w:val="28"/>
          <w:lang w:eastAsia="ru-RU"/>
        </w:rPr>
        <w:t xml:space="preserve">Задание № 1 </w:t>
      </w:r>
    </w:p>
    <w:p w:rsidR="006400A5" w:rsidRDefault="006400A5" w:rsidP="006400A5">
      <w:pPr>
        <w:widowControl w:val="0"/>
        <w:spacing w:after="0" w:line="360" w:lineRule="auto"/>
        <w:ind w:firstLine="708"/>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Как Вы понимаете значение этого фразеологизма в современном русском языке?</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Нести свой крест:</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 носить крест в кармане или на себе;  </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терпеливо переносить страдания;</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благодарить судьбу.</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Соломоново решение:</w:t>
      </w:r>
    </w:p>
    <w:p w:rsidR="006400A5" w:rsidRDefault="006400A5" w:rsidP="006400A5">
      <w:pPr>
        <w:widowControl w:val="0"/>
        <w:tabs>
          <w:tab w:val="left" w:pos="3402"/>
          <w:tab w:val="left" w:pos="4678"/>
          <w:tab w:val="left" w:pos="4820"/>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 решение о Соломоне;                           </w:t>
      </w:r>
    </w:p>
    <w:p w:rsidR="006400A5" w:rsidRDefault="006400A5" w:rsidP="006400A5">
      <w:pPr>
        <w:widowControl w:val="0"/>
        <w:tabs>
          <w:tab w:val="left" w:pos="3402"/>
          <w:tab w:val="left" w:pos="4678"/>
          <w:tab w:val="left" w:pos="4820"/>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очень мудрое решение;</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судебный приговор.</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Зарывать талант в землю:</w:t>
      </w:r>
    </w:p>
    <w:p w:rsidR="006400A5" w:rsidRDefault="006400A5" w:rsidP="006400A5">
      <w:pPr>
        <w:widowControl w:val="0"/>
        <w:tabs>
          <w:tab w:val="left" w:pos="4820"/>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 закопать деньги в ямку;                       </w:t>
      </w:r>
    </w:p>
    <w:p w:rsidR="006400A5" w:rsidRDefault="006400A5" w:rsidP="006400A5">
      <w:pPr>
        <w:widowControl w:val="0"/>
        <w:tabs>
          <w:tab w:val="left" w:pos="4820"/>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не развить (погубить) талант;</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заглушить в себе голос совести, не развивать в себе нравственность.</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Заблудшая овца:</w:t>
      </w:r>
    </w:p>
    <w:p w:rsidR="006400A5" w:rsidRDefault="006400A5" w:rsidP="006400A5">
      <w:pPr>
        <w:widowControl w:val="0"/>
        <w:tabs>
          <w:tab w:val="left" w:pos="4820"/>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 сбившийся с пути человек;                 </w:t>
      </w:r>
    </w:p>
    <w:p w:rsidR="006400A5" w:rsidRDefault="006400A5" w:rsidP="006400A5">
      <w:pPr>
        <w:widowControl w:val="0"/>
        <w:tabs>
          <w:tab w:val="left" w:pos="4820"/>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пропавшее животное;</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заблудившийся в лесу, в пустыне и т.д. человек.</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Имя им легион:</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многотысячное римское войско;</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спортсмены из других стран, играющие в отечественных клубах;</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огромное количество кого-либо, чего-либо.</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Каинова печать:</w:t>
      </w:r>
    </w:p>
    <w:p w:rsidR="006400A5" w:rsidRDefault="006400A5" w:rsidP="006400A5">
      <w:pPr>
        <w:widowControl w:val="0"/>
        <w:tabs>
          <w:tab w:val="left" w:pos="4820"/>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 печать некоего человека Каина;         </w:t>
      </w:r>
    </w:p>
    <w:p w:rsidR="006400A5" w:rsidRDefault="006400A5" w:rsidP="006400A5">
      <w:pPr>
        <w:widowControl w:val="0"/>
        <w:tabs>
          <w:tab w:val="left" w:pos="4820"/>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нечто навсегда;</w:t>
      </w:r>
    </w:p>
    <w:p w:rsidR="006400A5" w:rsidRDefault="006400A5" w:rsidP="006400A5">
      <w:pPr>
        <w:widowControl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клеймо преступления, внешние признаки преступности.</w:t>
      </w:r>
    </w:p>
    <w:p w:rsidR="006400A5" w:rsidRDefault="006400A5" w:rsidP="006400A5">
      <w:pPr>
        <w:widowControl w:val="0"/>
        <w:spacing w:after="0" w:line="360" w:lineRule="auto"/>
        <w:jc w:val="both"/>
      </w:pPr>
      <w:r>
        <w:rPr>
          <w:rFonts w:ascii="Times New Roman" w:eastAsia="Times New Roman" w:hAnsi="Times New Roman"/>
          <w:b/>
          <w:color w:val="000000"/>
          <w:sz w:val="28"/>
          <w:szCs w:val="28"/>
          <w:lang w:eastAsia="ru-RU"/>
        </w:rPr>
        <w:t>Ключ:</w:t>
      </w:r>
      <w:r>
        <w:rPr>
          <w:rFonts w:ascii="Times New Roman" w:eastAsia="Times New Roman" w:hAnsi="Times New Roman"/>
          <w:color w:val="000000"/>
          <w:sz w:val="28"/>
          <w:szCs w:val="28"/>
          <w:lang w:eastAsia="ru-RU"/>
        </w:rPr>
        <w:t xml:space="preserve"> 1-б, 2-б, 3-б, 4-а, 5-в, 6-в</w:t>
      </w:r>
    </w:p>
    <w:p w:rsidR="00FC2058" w:rsidRPr="00FC2058" w:rsidRDefault="00FC2058" w:rsidP="00FC2058">
      <w:pPr>
        <w:pStyle w:val="a3"/>
        <w:tabs>
          <w:tab w:val="left" w:pos="142"/>
          <w:tab w:val="left" w:pos="426"/>
          <w:tab w:val="left" w:pos="993"/>
        </w:tabs>
        <w:spacing w:line="360" w:lineRule="auto"/>
        <w:ind w:firstLine="567"/>
        <w:jc w:val="center"/>
        <w:rPr>
          <w:rFonts w:ascii="Times New Roman" w:eastAsia="Times New Roman" w:hAnsi="Times New Roman"/>
          <w:b/>
          <w:sz w:val="28"/>
          <w:szCs w:val="28"/>
          <w:lang w:eastAsia="ru-RU"/>
        </w:rPr>
      </w:pPr>
      <w:bookmarkStart w:id="0" w:name="_GoBack"/>
      <w:bookmarkEnd w:id="0"/>
      <w:r w:rsidRPr="00FC2058">
        <w:rPr>
          <w:rFonts w:ascii="Times New Roman" w:eastAsia="Times New Roman" w:hAnsi="Times New Roman"/>
          <w:b/>
          <w:sz w:val="28"/>
          <w:szCs w:val="28"/>
          <w:lang w:eastAsia="ru-RU"/>
        </w:rPr>
        <w:lastRenderedPageBreak/>
        <w:t>ЛИТЕРАТУРА</w:t>
      </w:r>
    </w:p>
    <w:p w:rsidR="00FC2058" w:rsidRPr="00FC2058" w:rsidRDefault="00FC2058" w:rsidP="00FC2058">
      <w:pPr>
        <w:pStyle w:val="a3"/>
        <w:tabs>
          <w:tab w:val="left" w:pos="142"/>
          <w:tab w:val="left" w:pos="426"/>
          <w:tab w:val="left" w:pos="993"/>
        </w:tabs>
        <w:spacing w:line="360" w:lineRule="auto"/>
        <w:ind w:firstLine="567"/>
        <w:jc w:val="center"/>
        <w:rPr>
          <w:rFonts w:ascii="Times New Roman" w:eastAsia="Times New Roman" w:hAnsi="Times New Roman"/>
          <w:b/>
          <w:sz w:val="28"/>
          <w:szCs w:val="28"/>
          <w:lang w:eastAsia="ru-RU"/>
        </w:rPr>
      </w:pPr>
    </w:p>
    <w:p w:rsidR="00FC2058" w:rsidRPr="00FC2058" w:rsidRDefault="00FC2058" w:rsidP="00FC2058">
      <w:pPr>
        <w:pStyle w:val="a3"/>
        <w:numPr>
          <w:ilvl w:val="0"/>
          <w:numId w:val="1"/>
        </w:numPr>
        <w:tabs>
          <w:tab w:val="left" w:pos="142"/>
          <w:tab w:val="left" w:pos="426"/>
          <w:tab w:val="left" w:pos="851"/>
        </w:tabs>
        <w:spacing w:line="360" w:lineRule="auto"/>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Арсентьева Е.Ф. Контекстуальное использование фразеологических единиц / Е.Ф. Арсентьева. – Казань, 2009. – 167 с.</w:t>
      </w:r>
    </w:p>
    <w:p w:rsidR="00FC2058" w:rsidRPr="00FC2058" w:rsidRDefault="00FC2058" w:rsidP="00FC2058">
      <w:pPr>
        <w:pStyle w:val="a3"/>
        <w:numPr>
          <w:ilvl w:val="0"/>
          <w:numId w:val="1"/>
        </w:numPr>
        <w:tabs>
          <w:tab w:val="left" w:pos="142"/>
          <w:tab w:val="left" w:pos="426"/>
          <w:tab w:val="left" w:pos="851"/>
        </w:tabs>
        <w:spacing w:line="360" w:lineRule="auto"/>
        <w:jc w:val="both"/>
        <w:rPr>
          <w:rFonts w:ascii="Times New Roman" w:eastAsia="Times New Roman" w:hAnsi="Times New Roman"/>
          <w:sz w:val="28"/>
          <w:szCs w:val="28"/>
          <w:lang w:eastAsia="ru-RU"/>
        </w:rPr>
      </w:pPr>
      <w:r w:rsidRPr="00FC2058">
        <w:rPr>
          <w:rFonts w:ascii="Times New Roman" w:eastAsia="Times New Roman" w:hAnsi="Times New Roman"/>
          <w:sz w:val="28"/>
          <w:szCs w:val="28"/>
          <w:lang w:eastAsia="ru-RU"/>
        </w:rPr>
        <w:t>Виноградов В.В. Об основных типах фразеологических единиц в русском языке / В.В. Виноградов // Избранные труды: лексикология и лексикография. – М.: Наука, 1977.  – С. 140–161.</w:t>
      </w:r>
    </w:p>
    <w:p w:rsidR="00FC2058" w:rsidRPr="00FC2058" w:rsidRDefault="00FC2058" w:rsidP="00FC2058">
      <w:pPr>
        <w:pStyle w:val="a3"/>
        <w:numPr>
          <w:ilvl w:val="0"/>
          <w:numId w:val="1"/>
        </w:numPr>
        <w:tabs>
          <w:tab w:val="left" w:pos="142"/>
          <w:tab w:val="left" w:pos="426"/>
          <w:tab w:val="left" w:pos="851"/>
        </w:tabs>
        <w:spacing w:line="360" w:lineRule="auto"/>
        <w:jc w:val="both"/>
        <w:rPr>
          <w:rFonts w:ascii="Times New Roman" w:eastAsia="Times New Roman" w:hAnsi="Times New Roman"/>
          <w:sz w:val="28"/>
          <w:szCs w:val="28"/>
          <w:lang w:eastAsia="ru-RU"/>
        </w:rPr>
      </w:pPr>
      <w:proofErr w:type="spellStart"/>
      <w:r w:rsidRPr="00FC2058">
        <w:rPr>
          <w:rFonts w:ascii="Times New Roman" w:eastAsia="Times New Roman" w:hAnsi="Times New Roman"/>
          <w:sz w:val="28"/>
          <w:szCs w:val="28"/>
          <w:lang w:eastAsia="ru-RU"/>
        </w:rPr>
        <w:t>Рецкер</w:t>
      </w:r>
      <w:proofErr w:type="spellEnd"/>
      <w:r w:rsidRPr="00FC2058">
        <w:rPr>
          <w:rFonts w:ascii="Times New Roman" w:eastAsia="Times New Roman" w:hAnsi="Times New Roman"/>
          <w:sz w:val="28"/>
          <w:szCs w:val="28"/>
          <w:lang w:eastAsia="ru-RU"/>
        </w:rPr>
        <w:t xml:space="preserve"> Я.И. Теория перевода и переводческая практика / Я.И. </w:t>
      </w:r>
      <w:proofErr w:type="spellStart"/>
      <w:r w:rsidRPr="00FC2058">
        <w:rPr>
          <w:rFonts w:ascii="Times New Roman" w:eastAsia="Times New Roman" w:hAnsi="Times New Roman"/>
          <w:sz w:val="28"/>
          <w:szCs w:val="28"/>
          <w:lang w:eastAsia="ru-RU"/>
        </w:rPr>
        <w:t>Рецкер</w:t>
      </w:r>
      <w:proofErr w:type="spellEnd"/>
      <w:r w:rsidRPr="00FC2058">
        <w:rPr>
          <w:rFonts w:ascii="Times New Roman" w:eastAsia="Times New Roman" w:hAnsi="Times New Roman"/>
          <w:sz w:val="28"/>
          <w:szCs w:val="28"/>
          <w:lang w:eastAsia="ru-RU"/>
        </w:rPr>
        <w:t>. – М.: Просвещение, 2006. – 566 с.</w:t>
      </w:r>
    </w:p>
    <w:p w:rsidR="00FC2058" w:rsidRPr="00FC2058" w:rsidRDefault="00FC2058" w:rsidP="00FC2058">
      <w:pPr>
        <w:pStyle w:val="a3"/>
        <w:tabs>
          <w:tab w:val="left" w:pos="142"/>
          <w:tab w:val="left" w:pos="567"/>
        </w:tabs>
        <w:spacing w:line="360" w:lineRule="auto"/>
        <w:ind w:left="1353"/>
        <w:jc w:val="both"/>
        <w:rPr>
          <w:rFonts w:ascii="Times New Roman" w:eastAsia="Times New Roman" w:hAnsi="Times New Roman"/>
          <w:sz w:val="28"/>
          <w:szCs w:val="28"/>
          <w:lang w:eastAsia="ru-RU"/>
        </w:rPr>
      </w:pPr>
    </w:p>
    <w:p w:rsidR="005D3F1A" w:rsidRPr="00FC2058" w:rsidRDefault="005D3F1A" w:rsidP="00FC2058">
      <w:pPr>
        <w:spacing w:line="360" w:lineRule="auto"/>
        <w:rPr>
          <w:sz w:val="28"/>
          <w:szCs w:val="28"/>
        </w:rPr>
      </w:pPr>
    </w:p>
    <w:sectPr w:rsidR="005D3F1A" w:rsidRPr="00FC20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822EC"/>
    <w:multiLevelType w:val="hybridMultilevel"/>
    <w:tmpl w:val="96B8BB32"/>
    <w:lvl w:ilvl="0" w:tplc="49B05B42">
      <w:start w:val="1"/>
      <w:numFmt w:val="decimal"/>
      <w:lvlText w:val="%1."/>
      <w:lvlJc w:val="left"/>
      <w:pPr>
        <w:ind w:left="786" w:hanging="360"/>
      </w:pPr>
      <w:rPr>
        <w:rFonts w:eastAsia="Times New Roman"/>
        <w:color w:val="auto"/>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058"/>
    <w:rsid w:val="001A1FA9"/>
    <w:rsid w:val="005D3F1A"/>
    <w:rsid w:val="006400A5"/>
    <w:rsid w:val="00FC2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0A5"/>
    <w:pPr>
      <w:spacing w:after="160"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2058"/>
    <w:pPr>
      <w:spacing w:after="0" w:line="240" w:lineRule="auto"/>
    </w:pPr>
    <w:rPr>
      <w:rFonts w:ascii="Calibri" w:eastAsia="Calibri" w:hAnsi="Calibri" w:cs="Times New Roman"/>
    </w:rPr>
  </w:style>
  <w:style w:type="paragraph" w:styleId="a4">
    <w:name w:val="List Paragraph"/>
    <w:basedOn w:val="a"/>
    <w:uiPriority w:val="34"/>
    <w:qFormat/>
    <w:rsid w:val="006400A5"/>
    <w:pPr>
      <w:spacing w:line="259" w:lineRule="auto"/>
      <w:ind w:left="720"/>
      <w:contextualSpacing/>
    </w:pPr>
  </w:style>
  <w:style w:type="character" w:styleId="a5">
    <w:name w:val="Hyperlink"/>
    <w:basedOn w:val="a0"/>
    <w:uiPriority w:val="99"/>
    <w:semiHidden/>
    <w:unhideWhenUsed/>
    <w:rsid w:val="006400A5"/>
    <w:rPr>
      <w:color w:val="0000FF" w:themeColor="hyperlink"/>
      <w:u w:val="single"/>
    </w:rPr>
  </w:style>
  <w:style w:type="paragraph" w:styleId="a6">
    <w:name w:val="Balloon Text"/>
    <w:basedOn w:val="a"/>
    <w:link w:val="a7"/>
    <w:uiPriority w:val="99"/>
    <w:semiHidden/>
    <w:unhideWhenUsed/>
    <w:rsid w:val="006400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00A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0A5"/>
    <w:pPr>
      <w:spacing w:after="160"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2058"/>
    <w:pPr>
      <w:spacing w:after="0" w:line="240" w:lineRule="auto"/>
    </w:pPr>
    <w:rPr>
      <w:rFonts w:ascii="Calibri" w:eastAsia="Calibri" w:hAnsi="Calibri" w:cs="Times New Roman"/>
    </w:rPr>
  </w:style>
  <w:style w:type="paragraph" w:styleId="a4">
    <w:name w:val="List Paragraph"/>
    <w:basedOn w:val="a"/>
    <w:uiPriority w:val="34"/>
    <w:qFormat/>
    <w:rsid w:val="006400A5"/>
    <w:pPr>
      <w:spacing w:line="259" w:lineRule="auto"/>
      <w:ind w:left="720"/>
      <w:contextualSpacing/>
    </w:pPr>
  </w:style>
  <w:style w:type="character" w:styleId="a5">
    <w:name w:val="Hyperlink"/>
    <w:basedOn w:val="a0"/>
    <w:uiPriority w:val="99"/>
    <w:semiHidden/>
    <w:unhideWhenUsed/>
    <w:rsid w:val="006400A5"/>
    <w:rPr>
      <w:color w:val="0000FF" w:themeColor="hyperlink"/>
      <w:u w:val="single"/>
    </w:rPr>
  </w:style>
  <w:style w:type="paragraph" w:styleId="a6">
    <w:name w:val="Balloon Text"/>
    <w:basedOn w:val="a"/>
    <w:link w:val="a7"/>
    <w:uiPriority w:val="99"/>
    <w:semiHidden/>
    <w:unhideWhenUsed/>
    <w:rsid w:val="006400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00A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25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1100</Words>
  <Characters>6276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2025-02-26T15:15:00Z</dcterms:created>
  <dcterms:modified xsi:type="dcterms:W3CDTF">2025-02-26T15:35:00Z</dcterms:modified>
</cp:coreProperties>
</file>